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4A" w:rsidRPr="003A3887" w:rsidRDefault="001D514A" w:rsidP="005E41B2">
      <w:pPr>
        <w:jc w:val="center"/>
        <w:rPr>
          <w:rFonts w:asciiTheme="majorBidi" w:hAnsiTheme="majorBidi" w:cstheme="majorBidi"/>
          <w:b/>
          <w:bCs/>
          <w:sz w:val="36"/>
          <w:szCs w:val="36"/>
          <w:lang w:val="en-GB"/>
        </w:rPr>
      </w:pPr>
      <w:r w:rsidRPr="003A3887">
        <w:rPr>
          <w:rFonts w:asciiTheme="majorBidi" w:hAnsiTheme="majorBidi" w:cstheme="majorBidi"/>
          <w:b/>
          <w:bCs/>
          <w:sz w:val="36"/>
          <w:szCs w:val="36"/>
          <w:lang w:val="en-GB"/>
        </w:rPr>
        <w:t>ASSESSING THE FEASIBILITY OF GEOSTATISTICAL APPROACHES TO CHARACTERIZE A STOCKPILE FROM AN IRON MINE OF IRAN</w:t>
      </w:r>
    </w:p>
    <w:p w:rsidR="001D514A" w:rsidRPr="003A3887" w:rsidRDefault="001D514A" w:rsidP="005E41B2">
      <w:pPr>
        <w:jc w:val="center"/>
        <w:rPr>
          <w:rFonts w:eastAsia="Times New Roman"/>
          <w:sz w:val="16"/>
          <w:szCs w:val="16"/>
          <w:lang w:val="en-GB" w:eastAsia="zh-CN"/>
        </w:rPr>
      </w:pPr>
    </w:p>
    <w:p w:rsidR="001D514A" w:rsidRPr="003A3887" w:rsidRDefault="001D514A" w:rsidP="005E41B2">
      <w:pPr>
        <w:autoSpaceDE w:val="0"/>
        <w:autoSpaceDN w:val="0"/>
        <w:adjustRightInd w:val="0"/>
        <w:jc w:val="center"/>
        <w:rPr>
          <w:rFonts w:eastAsia="Times New Roman"/>
          <w:color w:val="000000"/>
          <w:szCs w:val="20"/>
          <w:vertAlign w:val="superscript"/>
          <w:lang w:val="en-GB" w:eastAsia="zh-CN"/>
        </w:rPr>
      </w:pPr>
      <w:r w:rsidRPr="003A3887">
        <w:rPr>
          <w:rFonts w:eastAsia="Times New Roman"/>
          <w:color w:val="000000"/>
          <w:szCs w:val="20"/>
          <w:lang w:val="en-GB" w:eastAsia="zh-CN"/>
        </w:rPr>
        <w:t>Sara Kasmaee</w:t>
      </w:r>
      <w:r w:rsidRPr="003A3887">
        <w:rPr>
          <w:rFonts w:eastAsia="Times New Roman"/>
          <w:color w:val="000000"/>
          <w:szCs w:val="20"/>
          <w:vertAlign w:val="superscript"/>
          <w:lang w:val="en-GB" w:eastAsia="zh-CN"/>
        </w:rPr>
        <w:t>1</w:t>
      </w:r>
      <w:r w:rsidRPr="003A3887">
        <w:rPr>
          <w:rFonts w:eastAsia="Times New Roman"/>
          <w:color w:val="000000"/>
          <w:szCs w:val="20"/>
          <w:lang w:val="en-GB" w:eastAsia="zh-CN"/>
        </w:rPr>
        <w:t>, Roberto Bruno</w:t>
      </w:r>
      <w:r w:rsidRPr="003A3887">
        <w:rPr>
          <w:rFonts w:eastAsia="Times New Roman"/>
          <w:color w:val="000000"/>
          <w:szCs w:val="20"/>
          <w:vertAlign w:val="superscript"/>
          <w:lang w:val="en-GB" w:eastAsia="zh-CN"/>
        </w:rPr>
        <w:t>2</w:t>
      </w:r>
    </w:p>
    <w:p w:rsidR="001D514A" w:rsidRPr="003A3887" w:rsidRDefault="001D514A" w:rsidP="005E41B2">
      <w:pPr>
        <w:widowControl w:val="0"/>
        <w:suppressAutoHyphens/>
        <w:overflowPunct w:val="0"/>
        <w:autoSpaceDE w:val="0"/>
        <w:spacing w:after="0"/>
        <w:jc w:val="center"/>
        <w:textAlignment w:val="baseline"/>
        <w:rPr>
          <w:rFonts w:eastAsia="Times New Roman"/>
          <w:i/>
          <w:color w:val="000000"/>
          <w:lang w:val="en-GB" w:eastAsia="zh-CN"/>
        </w:rPr>
      </w:pPr>
      <w:r w:rsidRPr="003A3887">
        <w:rPr>
          <w:rFonts w:eastAsia="Times New Roman"/>
          <w:color w:val="000000"/>
          <w:vertAlign w:val="superscript"/>
          <w:lang w:val="en-GB" w:eastAsia="zh-CN"/>
        </w:rPr>
        <w:t>1</w:t>
      </w:r>
      <w:r w:rsidRPr="003A3887">
        <w:rPr>
          <w:rFonts w:eastAsia="Times New Roman"/>
          <w:color w:val="000000"/>
          <w:lang w:val="en-GB" w:eastAsia="zh-CN"/>
        </w:rPr>
        <w:t xml:space="preserve"> </w:t>
      </w:r>
      <w:r>
        <w:rPr>
          <w:rFonts w:eastAsia="Times New Roman"/>
          <w:i/>
          <w:color w:val="000000"/>
          <w:lang w:val="en-GB" w:eastAsia="zh-CN"/>
        </w:rPr>
        <w:t>Department</w:t>
      </w:r>
      <w:r w:rsidRPr="003A3887">
        <w:rPr>
          <w:rFonts w:eastAsia="Times New Roman"/>
          <w:i/>
          <w:color w:val="000000"/>
          <w:lang w:val="en-GB" w:eastAsia="zh-CN"/>
        </w:rPr>
        <w:t xml:space="preserve"> of Civil, Chemical, Environmental and Material Engineering of the University of Bologna, Via Terracini, 28 - 40131 Bologna, Italy, sara.kasmaeeyazdi2@ unibo.it</w:t>
      </w:r>
    </w:p>
    <w:p w:rsidR="001D514A" w:rsidRPr="003A3887" w:rsidRDefault="001D514A" w:rsidP="005E41B2">
      <w:pPr>
        <w:widowControl w:val="0"/>
        <w:suppressAutoHyphens/>
        <w:overflowPunct w:val="0"/>
        <w:autoSpaceDE w:val="0"/>
        <w:spacing w:after="0"/>
        <w:jc w:val="center"/>
        <w:textAlignment w:val="baseline"/>
        <w:rPr>
          <w:rFonts w:eastAsia="Times New Roman"/>
          <w:i/>
          <w:color w:val="000000"/>
          <w:lang w:val="en-GB" w:eastAsia="zh-CN"/>
        </w:rPr>
      </w:pPr>
    </w:p>
    <w:p w:rsidR="001D514A" w:rsidRPr="003A3887" w:rsidRDefault="001D514A" w:rsidP="005E41B2">
      <w:pPr>
        <w:widowControl w:val="0"/>
        <w:tabs>
          <w:tab w:val="center" w:pos="4819"/>
          <w:tab w:val="left" w:pos="7095"/>
        </w:tabs>
        <w:suppressAutoHyphens/>
        <w:overflowPunct w:val="0"/>
        <w:autoSpaceDE w:val="0"/>
        <w:spacing w:after="120"/>
        <w:jc w:val="center"/>
        <w:textAlignment w:val="baseline"/>
        <w:rPr>
          <w:rFonts w:eastAsia="Times New Roman"/>
          <w:i/>
          <w:color w:val="000000"/>
          <w:lang w:val="en-GB" w:eastAsia="zh-CN"/>
        </w:rPr>
      </w:pPr>
      <w:r w:rsidRPr="003A3887">
        <w:rPr>
          <w:rFonts w:eastAsia="Times New Roman"/>
          <w:i/>
          <w:color w:val="000000"/>
          <w:lang w:val="en-GB" w:eastAsia="zh-CN"/>
        </w:rPr>
        <w:t xml:space="preserve">1 </w:t>
      </w:r>
      <w:r>
        <w:rPr>
          <w:rFonts w:eastAsia="Times New Roman"/>
          <w:i/>
          <w:color w:val="000000"/>
          <w:lang w:val="en-GB" w:eastAsia="zh-CN"/>
        </w:rPr>
        <w:t>Department</w:t>
      </w:r>
      <w:r w:rsidRPr="003A3887">
        <w:rPr>
          <w:rFonts w:eastAsia="Times New Roman"/>
          <w:i/>
          <w:color w:val="000000"/>
          <w:lang w:val="en-GB" w:eastAsia="zh-CN"/>
        </w:rPr>
        <w:t xml:space="preserve"> of Civil, Chemical, Environmental and Material Engineering of the University of Bologna, Via Terracini, 28 - 40131 Bologna, Italy,, roberto.bruno@unibo.it</w:t>
      </w:r>
    </w:p>
    <w:p w:rsidR="001D514A" w:rsidRDefault="001D514A" w:rsidP="005E41B2">
      <w:pPr>
        <w:jc w:val="both"/>
        <w:rPr>
          <w:rFonts w:eastAsia="文泉驛正黑"/>
          <w:lang w:val="en-GB" w:eastAsia="zh-CN" w:bidi="hi-IN"/>
        </w:rPr>
      </w:pPr>
    </w:p>
    <w:p w:rsidR="001D514A" w:rsidRPr="001573F2" w:rsidRDefault="001D514A" w:rsidP="005E41B2">
      <w:pPr>
        <w:widowControl w:val="0"/>
        <w:suppressAutoHyphens/>
        <w:overflowPunct w:val="0"/>
        <w:autoSpaceDE w:val="0"/>
        <w:spacing w:after="120"/>
        <w:jc w:val="both"/>
        <w:textAlignment w:val="baseline"/>
        <w:rPr>
          <w:rFonts w:eastAsia="Times New Roman"/>
          <w:b/>
          <w:color w:val="000000"/>
          <w:sz w:val="32"/>
          <w:szCs w:val="32"/>
          <w:lang w:val="en-GB" w:eastAsia="zh-CN"/>
        </w:rPr>
      </w:pPr>
      <w:r w:rsidRPr="003A3887">
        <w:rPr>
          <w:rFonts w:eastAsia="Times New Roman"/>
          <w:b/>
          <w:color w:val="000000"/>
          <w:sz w:val="32"/>
          <w:szCs w:val="32"/>
          <w:lang w:val="en-GB" w:eastAsia="zh-CN"/>
        </w:rPr>
        <w:t>Extended abstract</w:t>
      </w:r>
    </w:p>
    <w:p w:rsidR="00EE5181" w:rsidRDefault="001D514A" w:rsidP="005E41B2">
      <w:pPr>
        <w:jc w:val="both"/>
        <w:rPr>
          <w:rFonts w:eastAsia="文泉驛正黑"/>
          <w:lang w:val="en-GB" w:eastAsia="zh-CN" w:bidi="hi-IN"/>
        </w:rPr>
      </w:pPr>
      <w:r w:rsidRPr="00313A33">
        <w:rPr>
          <w:rFonts w:eastAsia="文泉驛正黑"/>
          <w:lang w:val="en-GB" w:eastAsia="zh-CN" w:bidi="hi-IN"/>
        </w:rPr>
        <w:t>Structural analysis of stockpiles variability is a crucial subject in stockpiles exploitations. Many environmental companies have developed and commercialized a proprietary technology to remediate tailings and stockpiles areas - harmless to both humans and the environment-resulting from mining operations. Recently modern processing and recovery methods and also increasing the metal demands with low grades lead to</w:t>
      </w:r>
      <w:r>
        <w:rPr>
          <w:rFonts w:eastAsia="文泉驛正黑"/>
          <w:lang w:val="en-GB" w:eastAsia="zh-CN" w:bidi="hi-IN"/>
        </w:rPr>
        <w:t xml:space="preserve"> exploiting </w:t>
      </w:r>
      <w:r w:rsidRPr="00313A33">
        <w:rPr>
          <w:rFonts w:eastAsia="文泉驛正黑"/>
          <w:lang w:val="en-GB" w:eastAsia="zh-CN" w:bidi="hi-IN"/>
        </w:rPr>
        <w:t>the remaining vast stockpiles as</w:t>
      </w:r>
      <w:r w:rsidR="008434F6">
        <w:rPr>
          <w:rFonts w:eastAsia="文泉驛正黑"/>
          <w:lang w:val="en-GB" w:eastAsia="zh-CN" w:bidi="hi-IN"/>
        </w:rPr>
        <w:t xml:space="preserve"> additional </w:t>
      </w:r>
      <w:r w:rsidR="008434F6" w:rsidRPr="00313A33">
        <w:rPr>
          <w:rFonts w:eastAsia="文泉驛正黑"/>
          <w:lang w:val="en-GB" w:eastAsia="zh-CN" w:bidi="hi-IN"/>
        </w:rPr>
        <w:t>resources.</w:t>
      </w:r>
    </w:p>
    <w:p w:rsidR="008434F6" w:rsidRDefault="008434F6" w:rsidP="005E41B2">
      <w:pPr>
        <w:jc w:val="both"/>
        <w:rPr>
          <w:rFonts w:eastAsia="文泉驛正黑"/>
          <w:lang w:val="en-GB" w:eastAsia="zh-CN" w:bidi="hi-IN"/>
        </w:rPr>
      </w:pPr>
      <w:r w:rsidRPr="00313A33">
        <w:rPr>
          <w:rFonts w:eastAsia="文泉驛正黑"/>
          <w:lang w:val="en-GB" w:eastAsia="zh-CN" w:bidi="hi-IN"/>
        </w:rPr>
        <w:t>These large above ground stockpiles can be quantified, graded and valued to produce reliable modelling of processing costs and expected revenues. Of course it is necessary an adequate sampling of stockpiles for characterizing them, nevertheless some decisions have to be taken before sampling. Some pre-feasibility work can be done by knowing a numerical model of the deposit exploited and by simulating ore selection, haulage and piling. In this way</w:t>
      </w:r>
      <w:r>
        <w:rPr>
          <w:rFonts w:eastAsia="文泉驛正黑"/>
          <w:lang w:val="en-GB" w:eastAsia="zh-CN" w:bidi="hi-IN"/>
        </w:rPr>
        <w:t>,</w:t>
      </w:r>
      <w:r w:rsidRPr="00313A33">
        <w:rPr>
          <w:rFonts w:eastAsia="文泉驛正黑"/>
          <w:lang w:val="en-GB" w:eastAsia="zh-CN" w:bidi="hi-IN"/>
        </w:rPr>
        <w:t xml:space="preserve"> a simplified numerical model of the stockpile can be simulated, but it has to be validated</w:t>
      </w:r>
      <w:r>
        <w:rPr>
          <w:rFonts w:eastAsia="文泉驛正黑"/>
          <w:lang w:val="en-GB" w:eastAsia="zh-CN" w:bidi="hi-IN"/>
        </w:rPr>
        <w:t xml:space="preserve"> even before sampling</w:t>
      </w:r>
      <w:r w:rsidRPr="00313A33">
        <w:rPr>
          <w:rFonts w:eastAsia="文泉驛正黑"/>
          <w:lang w:val="en-GB" w:eastAsia="zh-CN" w:bidi="hi-IN"/>
        </w:rPr>
        <w:t xml:space="preserve">. An efficient control can be </w:t>
      </w:r>
      <w:r>
        <w:rPr>
          <w:rFonts w:eastAsia="文泉驛正黑"/>
          <w:lang w:val="en-GB" w:eastAsia="zh-CN" w:bidi="hi-IN"/>
        </w:rPr>
        <w:t xml:space="preserve">the </w:t>
      </w:r>
      <w:r w:rsidRPr="00313A33">
        <w:rPr>
          <w:rFonts w:eastAsia="文泉驛正黑"/>
          <w:lang w:val="en-GB" w:eastAsia="zh-CN" w:bidi="hi-IN"/>
        </w:rPr>
        <w:t>study of grade variability</w:t>
      </w:r>
      <w:r>
        <w:rPr>
          <w:rFonts w:eastAsia="文泉驛正黑"/>
          <w:lang w:val="en-GB" w:eastAsia="zh-CN" w:bidi="hi-IN"/>
        </w:rPr>
        <w:t>, which results to be</w:t>
      </w:r>
      <w:r w:rsidRPr="00313A33">
        <w:rPr>
          <w:rFonts w:eastAsia="文泉驛正黑"/>
          <w:lang w:val="en-GB" w:eastAsia="zh-CN" w:bidi="hi-IN"/>
        </w:rPr>
        <w:t xml:space="preserve"> of mixed nature, partly natural and partly artificial.</w:t>
      </w:r>
    </w:p>
    <w:p w:rsidR="006E2F6A" w:rsidRPr="00313A33" w:rsidRDefault="00030A16" w:rsidP="005E41B2">
      <w:pPr>
        <w:jc w:val="both"/>
        <w:rPr>
          <w:rFonts w:eastAsia="文泉驛正黑"/>
          <w:lang w:val="en-GB" w:eastAsia="zh-CN" w:bidi="hi-IN"/>
        </w:rPr>
      </w:pPr>
      <w:r w:rsidRPr="00313A33">
        <w:rPr>
          <w:rFonts w:eastAsia="文泉驛正黑"/>
          <w:lang w:val="en-GB" w:eastAsia="zh-CN" w:bidi="hi-IN"/>
        </w:rPr>
        <w:t>In this study we are focused on two large stockpiles created from the open-pit Choghart iron mine during 7 years following the ore selection based on Phosphors and Iron grade: High Phosphorous (HP) stockpile received the ore with P grade higher than 0</w:t>
      </w:r>
      <w:proofErr w:type="gramStart"/>
      <w:r w:rsidRPr="00313A33">
        <w:rPr>
          <w:rFonts w:eastAsia="文泉驛正黑"/>
          <w:lang w:val="en-GB" w:eastAsia="zh-CN" w:bidi="hi-IN"/>
        </w:rPr>
        <w:t>,6</w:t>
      </w:r>
      <w:proofErr w:type="gramEnd"/>
      <w:r w:rsidRPr="00313A33">
        <w:rPr>
          <w:rFonts w:eastAsia="文泉驛正黑"/>
          <w:lang w:val="en-GB" w:eastAsia="zh-CN" w:bidi="hi-IN"/>
        </w:rPr>
        <w:t xml:space="preserve"> %</w:t>
      </w:r>
      <w:r>
        <w:rPr>
          <w:rFonts w:eastAsia="文泉驛正黑"/>
          <w:lang w:val="en-GB" w:eastAsia="zh-CN" w:bidi="hi-IN"/>
        </w:rPr>
        <w:t>, unacceptable by the metallurgical plant,</w:t>
      </w:r>
      <w:r w:rsidRPr="00313A33">
        <w:rPr>
          <w:rFonts w:eastAsia="文泉驛正黑"/>
          <w:lang w:val="en-GB" w:eastAsia="zh-CN" w:bidi="hi-IN"/>
        </w:rPr>
        <w:t xml:space="preserve"> and Low Grade (LG) stockpile received the ore with Fe</w:t>
      </w:r>
      <w:r w:rsidR="006E2F6A">
        <w:rPr>
          <w:rFonts w:eastAsia="文泉驛正黑"/>
          <w:lang w:val="en-GB" w:eastAsia="zh-CN" w:bidi="hi-IN"/>
        </w:rPr>
        <w:t xml:space="preserve"> </w:t>
      </w:r>
      <w:r w:rsidR="006E2F6A" w:rsidRPr="00313A33">
        <w:rPr>
          <w:rFonts w:eastAsia="文泉驛正黑"/>
          <w:lang w:val="en-GB" w:eastAsia="zh-CN" w:bidi="hi-IN"/>
        </w:rPr>
        <w:t>grade</w:t>
      </w:r>
      <w:r w:rsidR="006E2F6A" w:rsidRPr="006E2F6A">
        <w:rPr>
          <w:rFonts w:eastAsia="文泉驛正黑"/>
          <w:lang w:val="en-GB" w:eastAsia="zh-CN" w:bidi="hi-IN"/>
        </w:rPr>
        <w:t xml:space="preserve"> </w:t>
      </w:r>
      <w:r w:rsidR="006E2F6A" w:rsidRPr="00313A33">
        <w:rPr>
          <w:rFonts w:eastAsia="文泉驛正黑"/>
          <w:lang w:val="en-GB" w:eastAsia="zh-CN" w:bidi="hi-IN"/>
        </w:rPr>
        <w:t>l</w:t>
      </w:r>
      <w:r w:rsidR="006E2F6A">
        <w:rPr>
          <w:rFonts w:eastAsia="文泉驛正黑"/>
          <w:lang w:val="en-GB" w:eastAsia="zh-CN" w:bidi="hi-IN"/>
        </w:rPr>
        <w:t>ower</w:t>
      </w:r>
      <w:r w:rsidR="006E2F6A" w:rsidRPr="00313A33">
        <w:rPr>
          <w:rFonts w:eastAsia="文泉驛正黑"/>
          <w:lang w:val="en-GB" w:eastAsia="zh-CN" w:bidi="hi-IN"/>
        </w:rPr>
        <w:t xml:space="preserve"> than 50 %.</w:t>
      </w:r>
    </w:p>
    <w:p w:rsidR="006E2F6A" w:rsidRPr="00313A33" w:rsidRDefault="006E2F6A" w:rsidP="005E41B2">
      <w:pPr>
        <w:jc w:val="both"/>
        <w:rPr>
          <w:rFonts w:eastAsia="文泉驛正黑"/>
          <w:lang w:val="en-GB" w:eastAsia="zh-CN" w:bidi="hi-IN"/>
        </w:rPr>
      </w:pPr>
      <w:r w:rsidRPr="00313A33">
        <w:rPr>
          <w:rFonts w:eastAsia="文泉驛正黑"/>
          <w:lang w:val="en-GB" w:eastAsia="zh-CN" w:bidi="hi-IN"/>
        </w:rPr>
        <w:t xml:space="preserve">Choghart Iron Mine has been a mining district since 1975s. Project </w:t>
      </w:r>
      <w:r>
        <w:rPr>
          <w:rFonts w:eastAsia="文泉驛正黑"/>
          <w:lang w:val="en-GB" w:eastAsia="zh-CN" w:bidi="hi-IN"/>
        </w:rPr>
        <w:t xml:space="preserve">was and still </w:t>
      </w:r>
      <w:r w:rsidRPr="00313A33">
        <w:rPr>
          <w:rFonts w:eastAsia="文泉驛正黑"/>
          <w:lang w:val="en-GB" w:eastAsia="zh-CN" w:bidi="hi-IN"/>
        </w:rPr>
        <w:t xml:space="preserve">is </w:t>
      </w:r>
      <w:r>
        <w:rPr>
          <w:rFonts w:eastAsia="文泉驛正黑"/>
          <w:lang w:val="en-GB" w:eastAsia="zh-CN" w:bidi="hi-IN"/>
        </w:rPr>
        <w:t xml:space="preserve">to exploit </w:t>
      </w:r>
      <w:r w:rsidRPr="00313A33">
        <w:rPr>
          <w:rFonts w:eastAsia="文泉驛正黑"/>
          <w:lang w:val="en-GB" w:eastAsia="zh-CN" w:bidi="hi-IN"/>
        </w:rPr>
        <w:t xml:space="preserve">a large Iron deposit located in the region of </w:t>
      </w:r>
      <w:proofErr w:type="spellStart"/>
      <w:r w:rsidRPr="00313A33">
        <w:rPr>
          <w:rFonts w:eastAsia="文泉驛正黑"/>
          <w:lang w:val="en-GB" w:eastAsia="zh-CN" w:bidi="hi-IN"/>
        </w:rPr>
        <w:t>Bafgh</w:t>
      </w:r>
      <w:proofErr w:type="spellEnd"/>
      <w:r w:rsidRPr="00313A33">
        <w:rPr>
          <w:rFonts w:eastAsia="文泉驛正黑"/>
          <w:lang w:val="en-GB" w:eastAsia="zh-CN" w:bidi="hi-IN"/>
        </w:rPr>
        <w:t xml:space="preserve">, approximately 125 km south-east of the City of Yazd, Iran. Following the definition of Moor and </w:t>
      </w:r>
      <w:proofErr w:type="spellStart"/>
      <w:r w:rsidRPr="00313A33">
        <w:rPr>
          <w:rFonts w:eastAsia="文泉驛正黑"/>
          <w:lang w:val="en-GB" w:eastAsia="zh-CN" w:bidi="hi-IN"/>
        </w:rPr>
        <w:t>Modabberi</w:t>
      </w:r>
      <w:proofErr w:type="spellEnd"/>
      <w:r w:rsidRPr="00313A33">
        <w:rPr>
          <w:rFonts w:eastAsia="文泉驛正黑"/>
          <w:lang w:val="en-GB" w:eastAsia="zh-CN" w:bidi="hi-IN"/>
        </w:rPr>
        <w:t xml:space="preserve"> (2003), Choghart was initially a prominent black hill of iron ore measuring 800 x 300 m, standing 150 m above the surrounding plain at about 1257 m above sea level. This mine is an open pit operation, which includes the five stages of drilling, blasting, loading, hauling and crushing. Loading and transporting is done by a truck shovel system. </w:t>
      </w:r>
    </w:p>
    <w:p w:rsidR="00777BF0" w:rsidRDefault="00777BF0" w:rsidP="005E41B2">
      <w:pPr>
        <w:jc w:val="both"/>
        <w:rPr>
          <w:rFonts w:eastAsia="文泉驛正黑"/>
          <w:lang w:val="en-GB" w:eastAsia="zh-CN" w:bidi="hi-IN"/>
        </w:rPr>
      </w:pPr>
      <w:r>
        <w:rPr>
          <w:rFonts w:eastAsia="文泉驛正黑"/>
          <w:lang w:val="en-GB" w:eastAsia="zh-CN" w:bidi="hi-IN"/>
        </w:rPr>
        <w:lastRenderedPageBreak/>
        <w:t xml:space="preserve">Following the pioneering work of Torab and Lehman (2006), the iron ore in this mine is a low sulphur type, 90% of the ore body is non-oxidized (magnetite ore) and more than 65% of the reserve is of a low phosphorous type. However, a huge amount of high grade-high phosphorous ore (an average grade greater than 0.6% phosphors) and low grade ore (an average grade less than 50% Iron) have been removed from the pit and stored in the HP and LG stockpiles, for possible future beneficiation. </w:t>
      </w:r>
    </w:p>
    <w:p w:rsidR="00777BF0" w:rsidRDefault="00777BF0" w:rsidP="005E41B2">
      <w:pPr>
        <w:jc w:val="both"/>
        <w:rPr>
          <w:rFonts w:eastAsia="文泉驛正黑"/>
          <w:lang w:val="en-GB" w:eastAsia="zh-CN" w:bidi="hi-IN"/>
        </w:rPr>
      </w:pPr>
      <w:r>
        <w:rPr>
          <w:rFonts w:eastAsia="文泉驛正黑"/>
          <w:lang w:val="en-GB" w:eastAsia="zh-CN" w:bidi="hi-IN"/>
        </w:rPr>
        <w:t>The construction of these stockpiles was started since 1993 using trucks with the capacity of almost 35 tons and the materials were disposed into horizontal layers. One layer represents in average the piling of one month. Actually the two stockpiles are large in size, contain different ore grades and the material is cumbersome and costly to sample. Therefore, for the characterization of the stockpiles a numerical model has been set up based upon pre-existing information gathered from blast holes data. An estimated numerical block model of the deposit has been obtained by co-kriging. The estimated ore has been followed during the loading, transportation and dumping system of the Choghart mine.</w:t>
      </w:r>
      <w:r w:rsidRPr="00777BF0">
        <w:rPr>
          <w:rFonts w:eastAsia="文泉驛正黑"/>
          <w:lang w:val="en-GB" w:eastAsia="zh-CN" w:bidi="hi-IN"/>
        </w:rPr>
        <w:t xml:space="preserve"> </w:t>
      </w:r>
      <w:r>
        <w:rPr>
          <w:rFonts w:eastAsia="文泉驛正黑"/>
          <w:lang w:val="en-GB" w:eastAsia="zh-CN" w:bidi="hi-IN"/>
        </w:rPr>
        <w:t>Finally</w:t>
      </w:r>
      <w:r>
        <w:rPr>
          <w:rFonts w:eastAsia="文泉驛正黑"/>
          <w:lang w:val="en-GB" w:eastAsia="zh-CN" w:bidi="hi-IN"/>
        </w:rPr>
        <w:t xml:space="preserve"> </w:t>
      </w:r>
      <w:r>
        <w:rPr>
          <w:rFonts w:eastAsia="文泉驛正黑"/>
          <w:lang w:val="en-GB" w:eastAsia="zh-CN" w:bidi="hi-IN"/>
        </w:rPr>
        <w:t>a simplified numerical model of the stockpiles was resulted.</w:t>
      </w:r>
    </w:p>
    <w:p w:rsidR="00777BF0" w:rsidRDefault="00777BF0" w:rsidP="005E41B2">
      <w:pPr>
        <w:jc w:val="both"/>
        <w:rPr>
          <w:rFonts w:eastAsia="文泉驛正黑"/>
          <w:lang w:val="en-GB" w:eastAsia="zh-CN" w:bidi="hi-IN"/>
        </w:rPr>
      </w:pPr>
      <w:r>
        <w:rPr>
          <w:rFonts w:eastAsia="文泉驛正黑"/>
          <w:lang w:val="en-GB" w:eastAsia="zh-CN" w:bidi="hi-IN"/>
        </w:rPr>
        <w:t>For the study are used blast holes data of five blocks (Block numbers: 478, 480, 482, 484 and 486) consisting of the low grade and high phosphorous ores in level 1140 of Choghart mine. They are samples regularized on a length of 10 m, drilled according to a regular pattern of 5x5 m. On fig.1 are shown the statistical distributions. Iron and Phosphors grades in the ore body are spatially structured and correlated as shown by the direct and cross variograms (Fig.2) where a linear corregionalisation model (nugget + exponential with range 20 m) has been fitted.</w:t>
      </w:r>
    </w:p>
    <w:p w:rsidR="00777BF0" w:rsidRDefault="00777BF0" w:rsidP="00613BFF">
      <w:pPr>
        <w:jc w:val="center"/>
        <w:rPr>
          <w:rFonts w:eastAsia="Times New Roman" w:cs="Lohit Devanagari"/>
          <w:iCs/>
          <w:noProof/>
          <w:color w:val="000000"/>
          <w:lang w:val="en-GB" w:eastAsia="en-US"/>
        </w:rPr>
      </w:pPr>
      <w:r>
        <w:rPr>
          <w:rFonts w:eastAsia="Times New Roman" w:cs="Lohit Devanagari"/>
          <w:iCs/>
          <w:noProof/>
          <w:color w:val="000000"/>
          <w:lang w:val="en-US" w:eastAsia="en-US"/>
        </w:rPr>
        <w:drawing>
          <wp:inline distT="0" distB="0" distL="0" distR="0" wp14:anchorId="10576503" wp14:editId="03CACDAE">
            <wp:extent cx="1730207" cy="1689811"/>
            <wp:effectExtent l="0" t="0" r="381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929" cy="1691493"/>
                    </a:xfrm>
                    <a:prstGeom prst="rect">
                      <a:avLst/>
                    </a:prstGeom>
                    <a:noFill/>
                    <a:ln>
                      <a:noFill/>
                    </a:ln>
                  </pic:spPr>
                </pic:pic>
              </a:graphicData>
            </a:graphic>
          </wp:inline>
        </w:drawing>
      </w:r>
      <w:r>
        <w:rPr>
          <w:rFonts w:eastAsia="Times New Roman" w:cs="Lohit Devanagari"/>
          <w:iCs/>
          <w:noProof/>
          <w:color w:val="000000"/>
          <w:lang w:val="en-US" w:eastAsia="en-US"/>
        </w:rPr>
        <w:drawing>
          <wp:inline distT="0" distB="0" distL="0" distR="0" wp14:anchorId="1641386C" wp14:editId="5F1E4127">
            <wp:extent cx="1727850" cy="169712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975" cy="1697249"/>
                    </a:xfrm>
                    <a:prstGeom prst="rect">
                      <a:avLst/>
                    </a:prstGeom>
                    <a:noFill/>
                    <a:ln>
                      <a:noFill/>
                    </a:ln>
                  </pic:spPr>
                </pic:pic>
              </a:graphicData>
            </a:graphic>
          </wp:inline>
        </w:drawing>
      </w:r>
    </w:p>
    <w:p w:rsidR="00BE1FB4" w:rsidRDefault="00777BF0" w:rsidP="00613BFF">
      <w:pPr>
        <w:jc w:val="center"/>
        <w:rPr>
          <w:rFonts w:eastAsia="Times New Roman" w:cs="Lohit Devanagari"/>
          <w:iCs/>
          <w:noProof/>
          <w:color w:val="000000"/>
          <w:lang w:val="en-GB" w:eastAsia="en-US"/>
        </w:rPr>
      </w:pPr>
      <w:bookmarkStart w:id="0" w:name="_Ref380965549"/>
      <w:proofErr w:type="gramStart"/>
      <w:r>
        <w:rPr>
          <w:rFonts w:eastAsia="Times New Roman"/>
          <w:iCs/>
          <w:color w:val="000000"/>
          <w:lang w:val="en-GB"/>
        </w:rPr>
        <w:t xml:space="preserve">Figure </w:t>
      </w:r>
      <w:bookmarkEnd w:id="0"/>
      <w:r>
        <w:rPr>
          <w:rFonts w:eastAsia="Times New Roman"/>
          <w:iCs/>
          <w:color w:val="000000"/>
          <w:lang w:val="en-GB"/>
        </w:rPr>
        <w:t>1.</w:t>
      </w:r>
      <w:proofErr w:type="gramEnd"/>
      <w:r>
        <w:rPr>
          <w:rFonts w:eastAsia="Times New Roman"/>
          <w:iCs/>
          <w:color w:val="000000"/>
          <w:lang w:val="en-GB"/>
        </w:rPr>
        <w:t xml:space="preserve"> Histograms of Fe (left) and P (right) concentration (%) for data of blast holes in 5 blocks</w:t>
      </w:r>
    </w:p>
    <w:p w:rsidR="00B73AB5" w:rsidRPr="00313A33" w:rsidRDefault="000046B0" w:rsidP="00613BFF">
      <w:pPr>
        <w:jc w:val="center"/>
        <w:rPr>
          <w:rFonts w:eastAsia="文泉驛正黑"/>
          <w:lang w:val="en-GB" w:eastAsia="zh-CN" w:bidi="hi-IN"/>
        </w:rPr>
      </w:pPr>
      <w:r>
        <w:rPr>
          <w:noProof/>
          <w:lang w:val="en-US" w:eastAsia="en-US"/>
        </w:rPr>
        <w:drawing>
          <wp:inline distT="0" distB="0" distL="0" distR="0" wp14:anchorId="59992562" wp14:editId="633C0740">
            <wp:extent cx="1601171" cy="14744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10826" cy="1483350"/>
                    </a:xfrm>
                    <a:prstGeom prst="rect">
                      <a:avLst/>
                    </a:prstGeom>
                  </pic:spPr>
                </pic:pic>
              </a:graphicData>
            </a:graphic>
          </wp:inline>
        </w:drawing>
      </w:r>
      <w:r w:rsidR="0038153B">
        <w:rPr>
          <w:noProof/>
          <w:lang w:val="en-US" w:eastAsia="en-US"/>
        </w:rPr>
        <w:drawing>
          <wp:inline distT="0" distB="0" distL="0" distR="0" wp14:anchorId="10EF1C9C" wp14:editId="402957E6">
            <wp:extent cx="1612536" cy="1477670"/>
            <wp:effectExtent l="0" t="0" r="698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622767" cy="1487045"/>
                    </a:xfrm>
                    <a:prstGeom prst="rect">
                      <a:avLst/>
                    </a:prstGeom>
                  </pic:spPr>
                </pic:pic>
              </a:graphicData>
            </a:graphic>
          </wp:inline>
        </w:drawing>
      </w:r>
      <w:r w:rsidR="00E00616">
        <w:rPr>
          <w:noProof/>
          <w:lang w:val="en-US" w:eastAsia="en-US"/>
        </w:rPr>
        <w:drawing>
          <wp:inline distT="0" distB="0" distL="0" distR="0" wp14:anchorId="0D1DFA7C" wp14:editId="521F180D">
            <wp:extent cx="1623110" cy="147767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33744" cy="1487351"/>
                    </a:xfrm>
                    <a:prstGeom prst="rect">
                      <a:avLst/>
                    </a:prstGeom>
                  </pic:spPr>
                </pic:pic>
              </a:graphicData>
            </a:graphic>
          </wp:inline>
        </w:drawing>
      </w:r>
    </w:p>
    <w:p w:rsidR="00B73AB5" w:rsidRDefault="00B73AB5" w:rsidP="00613BFF">
      <w:pPr>
        <w:jc w:val="center"/>
        <w:rPr>
          <w:rFonts w:eastAsia="Times New Roman"/>
          <w:iCs/>
          <w:color w:val="000000"/>
          <w:lang w:val="en-GB"/>
        </w:rPr>
      </w:pPr>
      <w:proofErr w:type="gramStart"/>
      <w:r>
        <w:rPr>
          <w:rFonts w:eastAsia="Times New Roman" w:cs="Lohit Devanagari"/>
          <w:iCs/>
          <w:color w:val="000000"/>
          <w:lang w:val="en-GB" w:eastAsia="zh-CN"/>
        </w:rPr>
        <w:t>Figure 2.</w:t>
      </w:r>
      <w:proofErr w:type="gramEnd"/>
      <w:r>
        <w:rPr>
          <w:rFonts w:eastAsia="Times New Roman" w:cs="Lohit Devanagari"/>
          <w:iCs/>
          <w:color w:val="000000"/>
          <w:lang w:val="en-GB" w:eastAsia="zh-CN"/>
        </w:rPr>
        <w:t xml:space="preserve">  Experimental and cross variograms of Fe and P using blast holes of five blocks</w:t>
      </w:r>
    </w:p>
    <w:p w:rsidR="00B73AB5" w:rsidRDefault="00B73AB5" w:rsidP="005E41B2">
      <w:pPr>
        <w:jc w:val="both"/>
        <w:rPr>
          <w:szCs w:val="22"/>
          <w:lang w:val="en-GB"/>
        </w:rPr>
      </w:pPr>
      <w:r>
        <w:rPr>
          <w:rFonts w:eastAsia="文泉驛正黑"/>
          <w:lang w:val="en-GB" w:eastAsia="zh-CN" w:bidi="hi-IN"/>
        </w:rPr>
        <w:lastRenderedPageBreak/>
        <w:t xml:space="preserve">Block size of estimated model was conditioned by the information available, in particular the height linked to the sample height: 10 *2.5 *1.4 m. </w:t>
      </w:r>
    </w:p>
    <w:p w:rsidR="00B73AB5" w:rsidRDefault="00B73AB5" w:rsidP="005E41B2">
      <w:pPr>
        <w:jc w:val="both"/>
        <w:rPr>
          <w:szCs w:val="22"/>
          <w:lang w:val="en-GB"/>
        </w:rPr>
      </w:pPr>
      <w:r>
        <w:rPr>
          <w:rFonts w:eastAsia="文泉驛正黑"/>
          <w:lang w:val="en-GB" w:eastAsia="zh-CN" w:bidi="hi-IN"/>
        </w:rPr>
        <w:t xml:space="preserve">An important point for checking the coherence of the stockpile model is the study of the grades structural behaviour. As a matter of fact one stockpile is fed by a selected part of the deposit, so that it becomes important to verify the conditional spatial variability of estimated blocks. On fig.3 and 4 they are shown the direct and cross variograms of estimated blocks, conditionally to the selection criteria (LG, HP). The structural behaviour, with respect to the samples, is significantly modified by the three facts: </w:t>
      </w:r>
    </w:p>
    <w:p w:rsidR="00B73AB5" w:rsidRDefault="00B73AB5" w:rsidP="005E41B2">
      <w:pPr>
        <w:pStyle w:val="ListParagraph"/>
        <w:numPr>
          <w:ilvl w:val="0"/>
          <w:numId w:val="1"/>
        </w:numPr>
        <w:jc w:val="both"/>
        <w:rPr>
          <w:rFonts w:eastAsia="文泉驛正黑"/>
          <w:lang w:val="en-GB" w:eastAsia="zh-CN" w:bidi="hi-IN"/>
        </w:rPr>
      </w:pPr>
      <w:r>
        <w:rPr>
          <w:rFonts w:eastAsia="文泉驛正黑"/>
          <w:lang w:val="en-GB" w:eastAsia="zh-CN" w:bidi="hi-IN"/>
        </w:rPr>
        <w:t>The support, which is now 3D and no more 1D; this lowers the dispersion and increases a little the ranges;</w:t>
      </w:r>
    </w:p>
    <w:p w:rsidR="00B73AB5" w:rsidRDefault="00B73AB5" w:rsidP="005E41B2">
      <w:pPr>
        <w:pStyle w:val="ListParagraph"/>
        <w:numPr>
          <w:ilvl w:val="0"/>
          <w:numId w:val="1"/>
        </w:numPr>
        <w:jc w:val="both"/>
        <w:rPr>
          <w:szCs w:val="22"/>
          <w:lang w:val="en-GB"/>
        </w:rPr>
      </w:pPr>
      <w:r>
        <w:rPr>
          <w:rFonts w:eastAsia="文泉驛正黑"/>
          <w:lang w:val="en-GB" w:eastAsia="zh-CN" w:bidi="hi-IN"/>
        </w:rPr>
        <w:t>The estimation which decreases the dispersion according to the estimation variances;</w:t>
      </w:r>
    </w:p>
    <w:p w:rsidR="00B73AB5" w:rsidRDefault="00B73AB5" w:rsidP="005E41B2">
      <w:pPr>
        <w:pStyle w:val="ListParagraph"/>
        <w:numPr>
          <w:ilvl w:val="0"/>
          <w:numId w:val="1"/>
        </w:numPr>
        <w:jc w:val="both"/>
        <w:rPr>
          <w:rFonts w:eastAsia="文泉驛正黑"/>
          <w:lang w:val="en-GB" w:eastAsia="zh-CN" w:bidi="hi-IN"/>
        </w:rPr>
      </w:pPr>
      <w:r>
        <w:rPr>
          <w:rFonts w:eastAsia="文泉驛正黑"/>
          <w:lang w:val="en-GB" w:eastAsia="zh-CN" w:bidi="hi-IN"/>
        </w:rPr>
        <w:t xml:space="preserve">The selection criteria, based on cut offs, which modifies means and variances, mostly of the variables to which the cut-off has been applied, and can modify also the ranges (Matheron 1982 “La </w:t>
      </w:r>
      <w:proofErr w:type="spellStart"/>
      <w:r>
        <w:rPr>
          <w:rFonts w:eastAsia="文泉驛正黑"/>
          <w:lang w:val="en-GB" w:eastAsia="zh-CN" w:bidi="hi-IN"/>
        </w:rPr>
        <w:t>destructuration</w:t>
      </w:r>
      <w:proofErr w:type="spellEnd"/>
      <w:r>
        <w:rPr>
          <w:rFonts w:eastAsia="文泉驛正黑"/>
          <w:lang w:val="en-GB" w:eastAsia="zh-CN" w:bidi="hi-IN"/>
        </w:rPr>
        <w:t xml:space="preserve"> des </w:t>
      </w:r>
      <w:proofErr w:type="spellStart"/>
      <w:r>
        <w:rPr>
          <w:rFonts w:eastAsia="文泉驛正黑"/>
          <w:lang w:val="en-GB" w:eastAsia="zh-CN" w:bidi="hi-IN"/>
        </w:rPr>
        <w:t>hautes</w:t>
      </w:r>
      <w:proofErr w:type="spellEnd"/>
      <w:r>
        <w:rPr>
          <w:rFonts w:eastAsia="文泉驛正黑"/>
          <w:lang w:val="en-GB" w:eastAsia="zh-CN" w:bidi="hi-IN"/>
        </w:rPr>
        <w:t xml:space="preserve"> </w:t>
      </w:r>
      <w:proofErr w:type="spellStart"/>
      <w:r>
        <w:rPr>
          <w:rFonts w:eastAsia="文泉驛正黑"/>
          <w:lang w:val="en-GB" w:eastAsia="zh-CN" w:bidi="hi-IN"/>
        </w:rPr>
        <w:t>teneurs</w:t>
      </w:r>
      <w:proofErr w:type="spellEnd"/>
      <w:r>
        <w:rPr>
          <w:rFonts w:eastAsia="文泉驛正黑"/>
          <w:lang w:val="en-GB" w:eastAsia="zh-CN" w:bidi="hi-IN"/>
        </w:rPr>
        <w:t>”)</w:t>
      </w:r>
    </w:p>
    <w:p w:rsidR="00B73AB5" w:rsidRDefault="00B73AB5" w:rsidP="005E41B2">
      <w:pPr>
        <w:jc w:val="both"/>
        <w:rPr>
          <w:rFonts w:eastAsia="文泉驛正黑"/>
          <w:lang w:val="en-GB" w:eastAsia="zh-CN" w:bidi="hi-IN"/>
        </w:rPr>
      </w:pPr>
      <w:r>
        <w:rPr>
          <w:rFonts w:eastAsia="文泉驛正黑"/>
          <w:lang w:val="en-GB" w:eastAsia="zh-CN" w:bidi="hi-IN"/>
        </w:rPr>
        <w:t>In fact, in the HP part of the deposit, the variogram sill of block estimated P and Fe grades are 28% lower than that of samples and in LG part of the deposit, the Fe grade has a variogram sill that is 30% lower with respect to the samples variogram and the P variogram has sill almost equal to the sill of samples.</w:t>
      </w:r>
    </w:p>
    <w:p w:rsidR="00E9407C" w:rsidRDefault="00B73AB5" w:rsidP="00613BFF">
      <w:pPr>
        <w:jc w:val="both"/>
        <w:rPr>
          <w:rFonts w:eastAsia="文泉驛正黑"/>
          <w:lang w:val="en-GB" w:eastAsia="zh-CN" w:bidi="hi-IN"/>
        </w:rPr>
      </w:pPr>
      <w:r>
        <w:rPr>
          <w:rFonts w:eastAsia="文泉驛正黑"/>
          <w:lang w:val="en-GB" w:eastAsia="zh-CN" w:bidi="hi-IN"/>
        </w:rPr>
        <w:t>For simulating the haulage, the elementary volume transported is linked to the truck capacity (35 tons), which means a volume about 1/3 of that of estimated blocks. Therefore, the elementary cell of stockpile model is a parallelepiped 1 m height, 3 m large and 4 m long. Finally, it is considered that the 3 cells of the stockpile fed by the same deposit block have all the same grade.</w:t>
      </w:r>
    </w:p>
    <w:p w:rsidR="00AA25FB" w:rsidRDefault="00AA25FB" w:rsidP="00613BFF">
      <w:pPr>
        <w:jc w:val="center"/>
        <w:rPr>
          <w:rFonts w:eastAsia="文泉驛正黑"/>
          <w:lang w:val="en-GB" w:eastAsia="zh-CN" w:bidi="hi-IN"/>
        </w:rPr>
      </w:pPr>
      <w:r>
        <w:rPr>
          <w:noProof/>
          <w:lang w:val="en-US" w:eastAsia="en-US"/>
        </w:rPr>
        <w:drawing>
          <wp:inline distT="0" distB="0" distL="0" distR="0" wp14:anchorId="33CD3FB9" wp14:editId="6412737F">
            <wp:extent cx="1545141" cy="13972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50391" cy="1401951"/>
                    </a:xfrm>
                    <a:prstGeom prst="rect">
                      <a:avLst/>
                    </a:prstGeom>
                  </pic:spPr>
                </pic:pic>
              </a:graphicData>
            </a:graphic>
          </wp:inline>
        </w:drawing>
      </w:r>
      <w:r>
        <w:rPr>
          <w:noProof/>
          <w:lang w:val="en-US" w:eastAsia="en-US"/>
        </w:rPr>
        <w:drawing>
          <wp:inline distT="0" distB="0" distL="0" distR="0" wp14:anchorId="32E5C06E" wp14:editId="33140804">
            <wp:extent cx="1516587" cy="1375257"/>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19991" cy="1378344"/>
                    </a:xfrm>
                    <a:prstGeom prst="rect">
                      <a:avLst/>
                    </a:prstGeom>
                  </pic:spPr>
                </pic:pic>
              </a:graphicData>
            </a:graphic>
          </wp:inline>
        </w:drawing>
      </w:r>
      <w:r>
        <w:rPr>
          <w:noProof/>
          <w:lang w:val="en-US" w:eastAsia="en-US"/>
        </w:rPr>
        <w:drawing>
          <wp:inline distT="0" distB="0" distL="0" distR="0" wp14:anchorId="228442F1" wp14:editId="4708E7F3">
            <wp:extent cx="1525625" cy="137306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537422" cy="1383679"/>
                    </a:xfrm>
                    <a:prstGeom prst="rect">
                      <a:avLst/>
                    </a:prstGeom>
                  </pic:spPr>
                </pic:pic>
              </a:graphicData>
            </a:graphic>
          </wp:inline>
        </w:drawing>
      </w:r>
    </w:p>
    <w:p w:rsidR="004B3308" w:rsidRPr="00613BFF" w:rsidRDefault="00AA25FB" w:rsidP="00613BFF">
      <w:pPr>
        <w:jc w:val="center"/>
        <w:rPr>
          <w:rFonts w:ascii="Nimbus Roman No9 L" w:eastAsia="Times New Roman" w:hAnsi="Nimbus Roman No9 L"/>
          <w:iCs/>
          <w:color w:val="000000"/>
          <w:lang w:val="en-US"/>
        </w:rPr>
      </w:pPr>
      <w:proofErr w:type="gramStart"/>
      <w:r>
        <w:rPr>
          <w:rFonts w:ascii="Nimbus Roman No9 L" w:eastAsia="Times New Roman" w:hAnsi="Nimbus Roman No9 L"/>
          <w:iCs/>
          <w:color w:val="000000"/>
          <w:lang w:val="en-US"/>
        </w:rPr>
        <w:t>Figure 3.</w:t>
      </w:r>
      <w:proofErr w:type="gramEnd"/>
      <w:r>
        <w:rPr>
          <w:rFonts w:ascii="Nimbus Roman No9 L" w:eastAsia="Times New Roman" w:hAnsi="Nimbus Roman No9 L"/>
          <w:iCs/>
          <w:color w:val="000000"/>
          <w:lang w:val="en-US"/>
        </w:rPr>
        <w:t xml:space="preserve"> Structural analysis of HP part from estimated blocks for 5blocks</w:t>
      </w:r>
    </w:p>
    <w:p w:rsidR="00F4612D" w:rsidRDefault="00F4612D" w:rsidP="00613BFF">
      <w:pPr>
        <w:jc w:val="center"/>
        <w:rPr>
          <w:rFonts w:ascii="Nimbus Roman No9 L" w:eastAsia="Times New Roman" w:hAnsi="Nimbus Roman No9 L"/>
          <w:iCs/>
          <w:color w:val="000000"/>
          <w:lang w:val="en-US"/>
        </w:rPr>
      </w:pPr>
      <w:r>
        <w:rPr>
          <w:noProof/>
          <w:lang w:val="en-US" w:eastAsia="en-US"/>
        </w:rPr>
        <w:drawing>
          <wp:inline distT="0" distB="0" distL="0" distR="0" wp14:anchorId="3BB72B4C" wp14:editId="7D04CA2A">
            <wp:extent cx="1651839" cy="1499616"/>
            <wp:effectExtent l="0" t="0" r="5715"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52198" cy="1499942"/>
                    </a:xfrm>
                    <a:prstGeom prst="rect">
                      <a:avLst/>
                    </a:prstGeom>
                    <a:noFill/>
                    <a:ln>
                      <a:noFill/>
                    </a:ln>
                  </pic:spPr>
                </pic:pic>
              </a:graphicData>
            </a:graphic>
          </wp:inline>
        </w:drawing>
      </w:r>
      <w:r>
        <w:rPr>
          <w:noProof/>
          <w:lang w:val="en-US" w:eastAsia="en-US"/>
        </w:rPr>
        <w:drawing>
          <wp:inline distT="0" distB="0" distL="0" distR="0" wp14:anchorId="3BCC9901" wp14:editId="33169CFF">
            <wp:extent cx="1667866" cy="1506892"/>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2127" cy="1510742"/>
                    </a:xfrm>
                    <a:prstGeom prst="rect">
                      <a:avLst/>
                    </a:prstGeom>
                    <a:noFill/>
                    <a:ln>
                      <a:noFill/>
                    </a:ln>
                  </pic:spPr>
                </pic:pic>
              </a:graphicData>
            </a:graphic>
          </wp:inline>
        </w:drawing>
      </w:r>
      <w:r>
        <w:rPr>
          <w:noProof/>
          <w:lang w:val="en-US" w:eastAsia="en-US"/>
        </w:rPr>
        <w:drawing>
          <wp:inline distT="0" distB="0" distL="0" distR="0" wp14:anchorId="0591B01E" wp14:editId="411E1B55">
            <wp:extent cx="1627375" cy="151033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2595" cy="1515175"/>
                    </a:xfrm>
                    <a:prstGeom prst="rect">
                      <a:avLst/>
                    </a:prstGeom>
                    <a:noFill/>
                    <a:ln>
                      <a:noFill/>
                    </a:ln>
                  </pic:spPr>
                </pic:pic>
              </a:graphicData>
            </a:graphic>
          </wp:inline>
        </w:drawing>
      </w:r>
    </w:p>
    <w:p w:rsidR="00E77B06" w:rsidRDefault="00F4612D" w:rsidP="003452E6">
      <w:pPr>
        <w:jc w:val="center"/>
        <w:rPr>
          <w:rFonts w:ascii="Nimbus Roman No9 L" w:eastAsia="Times New Roman" w:hAnsi="Nimbus Roman No9 L"/>
          <w:iCs/>
          <w:color w:val="000000"/>
          <w:lang w:val="en-US"/>
        </w:rPr>
      </w:pPr>
      <w:proofErr w:type="gramStart"/>
      <w:r>
        <w:rPr>
          <w:rFonts w:ascii="Nimbus Roman No9 L" w:eastAsia="Times New Roman" w:hAnsi="Nimbus Roman No9 L"/>
          <w:iCs/>
          <w:color w:val="000000"/>
          <w:lang w:val="en-US"/>
        </w:rPr>
        <w:t>Figure 4.</w:t>
      </w:r>
      <w:proofErr w:type="gramEnd"/>
      <w:r>
        <w:rPr>
          <w:rFonts w:ascii="Nimbus Roman No9 L" w:eastAsia="Times New Roman" w:hAnsi="Nimbus Roman No9 L"/>
          <w:iCs/>
          <w:color w:val="000000"/>
          <w:lang w:val="en-US"/>
        </w:rPr>
        <w:t xml:space="preserve"> Structural analysis of LG part from estimated blocks for 5blocks</w:t>
      </w:r>
    </w:p>
    <w:p w:rsidR="003452E6" w:rsidRPr="003452E6" w:rsidRDefault="003452E6" w:rsidP="003452E6">
      <w:pPr>
        <w:jc w:val="center"/>
        <w:rPr>
          <w:rFonts w:ascii="Nimbus Roman No9 L" w:eastAsia="Times New Roman" w:hAnsi="Nimbus Roman No9 L"/>
          <w:iCs/>
          <w:color w:val="000000"/>
          <w:lang w:val="en-US"/>
        </w:rPr>
      </w:pPr>
    </w:p>
    <w:p w:rsidR="00E77B06" w:rsidRDefault="00E77B06" w:rsidP="005E41B2">
      <w:pPr>
        <w:jc w:val="both"/>
        <w:rPr>
          <w:lang w:val="en-GB"/>
        </w:rPr>
      </w:pPr>
      <w:r>
        <w:rPr>
          <w:rFonts w:eastAsia="文泉驛正黑"/>
          <w:lang w:val="en-GB" w:eastAsia="zh-CN" w:bidi="hi-IN"/>
        </w:rPr>
        <w:t xml:space="preserve">The simulation of stockpile construction considers that after completion of a line, a new line is piled and that when a level is filled, a new level is started. According to the constant height of excavated benches -10 meters- and also the constant height of each pile sequence -produced by trucks in the height of 1 meter- the estimation is implemented in 2-dimentions. </w:t>
      </w:r>
    </w:p>
    <w:p w:rsidR="00CA1700" w:rsidRDefault="00E77B06" w:rsidP="005E41B2">
      <w:pPr>
        <w:jc w:val="both"/>
        <w:rPr>
          <w:rFonts w:eastAsia="文泉驛正黑"/>
          <w:lang w:val="en-GB" w:eastAsia="zh-CN" w:bidi="hi-IN"/>
        </w:rPr>
      </w:pPr>
      <w:r>
        <w:rPr>
          <w:rFonts w:eastAsia="文泉驛正黑"/>
          <w:lang w:val="en-GB" w:eastAsia="zh-CN" w:bidi="hi-IN"/>
        </w:rPr>
        <w:t>The numerical model of stockpiles by simulating the piling process f</w:t>
      </w:r>
      <w:r w:rsidR="00800D37">
        <w:rPr>
          <w:rFonts w:eastAsia="文泉驛正黑"/>
          <w:lang w:val="en-GB" w:eastAsia="zh-CN" w:bidi="hi-IN"/>
        </w:rPr>
        <w:t>rom estimated data</w:t>
      </w:r>
      <w:r w:rsidR="00CA1700">
        <w:rPr>
          <w:rFonts w:eastAsia="文泉驛正黑"/>
          <w:lang w:val="en-GB" w:eastAsia="zh-CN" w:bidi="hi-IN"/>
        </w:rPr>
        <w:t xml:space="preserve"> </w:t>
      </w:r>
      <w:r>
        <w:rPr>
          <w:rFonts w:eastAsia="文泉驛正黑"/>
          <w:lang w:val="en-GB" w:eastAsia="zh-CN" w:bidi="hi-IN"/>
        </w:rPr>
        <w:t xml:space="preserve">provides </w:t>
      </w:r>
      <w:r w:rsidR="00800D37">
        <w:rPr>
          <w:rFonts w:eastAsia="文泉驛正黑"/>
          <w:lang w:val="en-GB" w:eastAsia="zh-CN" w:bidi="hi-IN"/>
        </w:rPr>
        <w:t>appropriate</w:t>
      </w:r>
      <w:r>
        <w:rPr>
          <w:rFonts w:eastAsia="文泉驛正黑"/>
          <w:lang w:val="en-GB" w:eastAsia="zh-CN" w:bidi="hi-IN"/>
        </w:rPr>
        <w:t xml:space="preserve"> information to evaluate and compare</w:t>
      </w:r>
      <w:r w:rsidR="00CA1700">
        <w:rPr>
          <w:rFonts w:eastAsia="文泉驛正黑"/>
          <w:lang w:val="en-GB" w:eastAsia="zh-CN" w:bidi="hi-IN"/>
        </w:rPr>
        <w:t xml:space="preserve"> </w:t>
      </w:r>
      <w:r w:rsidR="00CA1700">
        <w:rPr>
          <w:rFonts w:eastAsia="文泉驛正黑"/>
          <w:lang w:val="en-GB" w:eastAsia="zh-CN" w:bidi="hi-IN"/>
        </w:rPr>
        <w:t>piling design alternatives and to take any other decision. Nevertheless, a check is necessary before exploiting the piles numerical model. We propose to simply check</w:t>
      </w:r>
      <w:r w:rsidR="00CA1700">
        <w:rPr>
          <w:rFonts w:eastAsia="文泉驛正黑"/>
          <w:lang w:val="en-GB" w:eastAsia="zh-CN" w:bidi="hi-IN"/>
        </w:rPr>
        <w:t xml:space="preserve"> </w:t>
      </w:r>
      <w:r w:rsidR="00CA1700">
        <w:rPr>
          <w:rFonts w:eastAsia="文泉驛正黑"/>
          <w:lang w:val="en-GB" w:eastAsia="zh-CN" w:bidi="hi-IN"/>
        </w:rPr>
        <w:t>the coherence of spatial variability of grades inside the stockpiles.</w:t>
      </w:r>
    </w:p>
    <w:p w:rsidR="00CA1700" w:rsidRDefault="00CA1700" w:rsidP="005E41B2">
      <w:pPr>
        <w:jc w:val="both"/>
        <w:rPr>
          <w:rFonts w:eastAsia="文泉驛正黑"/>
          <w:lang w:val="en-GB" w:eastAsia="zh-CN" w:bidi="hi-IN"/>
        </w:rPr>
      </w:pPr>
      <w:r>
        <w:rPr>
          <w:rFonts w:eastAsia="文泉驛正黑"/>
          <w:lang w:val="en-GB" w:eastAsia="zh-CN" w:bidi="hi-IN"/>
        </w:rPr>
        <w:t xml:space="preserve">This should be linked to the piling simulation, which keeps mean and variance of block estimated grades of the selected portion of the deposit. Also the horizontal variability along the lines of discharge of trucks is kept, but with a range increasing of a couple of metres and with a differentiable behaviour near the origin due to the artificial homogeneity introduced by giving the same grade to three sequential cells. Almost nugget variability in the direction orthogonal to piling lines </w:t>
      </w:r>
      <w:proofErr w:type="gramStart"/>
      <w:r>
        <w:rPr>
          <w:rFonts w:eastAsia="文泉驛正黑"/>
          <w:lang w:val="en-GB" w:eastAsia="zh-CN" w:bidi="hi-IN"/>
        </w:rPr>
        <w:t>are</w:t>
      </w:r>
      <w:proofErr w:type="gramEnd"/>
      <w:r>
        <w:rPr>
          <w:rFonts w:eastAsia="文泉驛正黑"/>
          <w:lang w:val="en-GB" w:eastAsia="zh-CN" w:bidi="hi-IN"/>
        </w:rPr>
        <w:t xml:space="preserve"> generated (Table.1</w:t>
      </w:r>
      <w:r w:rsidR="00A314E3">
        <w:rPr>
          <w:rFonts w:eastAsia="文泉驛正黑"/>
          <w:lang w:val="en-GB" w:eastAsia="zh-CN" w:bidi="hi-IN"/>
        </w:rPr>
        <w:t>a and 1b</w:t>
      </w:r>
      <w:r>
        <w:rPr>
          <w:rFonts w:eastAsia="文泉驛正黑"/>
          <w:lang w:val="en-GB" w:eastAsia="zh-CN" w:bidi="hi-IN"/>
        </w:rPr>
        <w:t xml:space="preserve">). </w:t>
      </w:r>
    </w:p>
    <w:p w:rsidR="005C7273" w:rsidRDefault="00CA1700" w:rsidP="005E41B2">
      <w:pPr>
        <w:jc w:val="both"/>
        <w:rPr>
          <w:rFonts w:eastAsia="文泉驛正黑"/>
          <w:lang w:val="en-GB" w:eastAsia="zh-CN" w:bidi="hi-IN"/>
        </w:rPr>
      </w:pPr>
      <w:r>
        <w:rPr>
          <w:rFonts w:eastAsia="文泉驛正黑"/>
          <w:lang w:val="en-GB" w:eastAsia="zh-CN" w:bidi="hi-IN"/>
        </w:rPr>
        <w:t>On fig. 5 and 6 the expected spatial variability of cell grades in the stockpile are verified.</w:t>
      </w:r>
    </w:p>
    <w:p w:rsidR="00CE242F" w:rsidRDefault="00EE5683" w:rsidP="0094349A">
      <w:pPr>
        <w:jc w:val="center"/>
        <w:rPr>
          <w:rFonts w:eastAsia="文泉驛正黑"/>
          <w:lang w:val="en-GB" w:eastAsia="zh-CN" w:bidi="hi-IN"/>
        </w:rPr>
      </w:pPr>
      <w:r>
        <w:rPr>
          <w:noProof/>
          <w:lang w:val="en-US" w:eastAsia="en-US"/>
        </w:rPr>
        <w:drawing>
          <wp:inline distT="0" distB="0" distL="0" distR="0" wp14:anchorId="3B0B5AB4" wp14:editId="3DA38887">
            <wp:extent cx="1792224" cy="1674131"/>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r="1708"/>
                    <a:stretch/>
                  </pic:blipFill>
                  <pic:spPr bwMode="auto">
                    <a:xfrm>
                      <a:off x="0" y="0"/>
                      <a:ext cx="1796811" cy="1678416"/>
                    </a:xfrm>
                    <a:prstGeom prst="rect">
                      <a:avLst/>
                    </a:prstGeom>
                    <a:ln>
                      <a:noFill/>
                    </a:ln>
                    <a:extLst>
                      <a:ext uri="{53640926-AAD7-44D8-BBD7-CCE9431645EC}">
                        <a14:shadowObscured xmlns:a14="http://schemas.microsoft.com/office/drawing/2010/main"/>
                      </a:ext>
                    </a:extLst>
                  </pic:spPr>
                </pic:pic>
              </a:graphicData>
            </a:graphic>
          </wp:inline>
        </w:drawing>
      </w:r>
      <w:r w:rsidR="0042297F">
        <w:rPr>
          <w:noProof/>
          <w:lang w:val="en-US" w:eastAsia="en-US"/>
        </w:rPr>
        <w:drawing>
          <wp:inline distT="0" distB="0" distL="0" distR="0" wp14:anchorId="45B9746A" wp14:editId="76B3EA62">
            <wp:extent cx="1865376" cy="1693391"/>
            <wp:effectExtent l="0" t="0" r="190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873226" cy="1700518"/>
                    </a:xfrm>
                    <a:prstGeom prst="rect">
                      <a:avLst/>
                    </a:prstGeom>
                  </pic:spPr>
                </pic:pic>
              </a:graphicData>
            </a:graphic>
          </wp:inline>
        </w:drawing>
      </w:r>
      <w:r w:rsidR="005C7273">
        <w:rPr>
          <w:noProof/>
          <w:lang w:val="en-US" w:eastAsia="en-US"/>
        </w:rPr>
        <w:drawing>
          <wp:inline distT="0" distB="0" distL="0" distR="0" wp14:anchorId="6F33B6AC" wp14:editId="2DF3D51A">
            <wp:extent cx="1845031" cy="1674923"/>
            <wp:effectExtent l="0" t="0" r="317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847297" cy="1676980"/>
                    </a:xfrm>
                    <a:prstGeom prst="rect">
                      <a:avLst/>
                    </a:prstGeom>
                  </pic:spPr>
                </pic:pic>
              </a:graphicData>
            </a:graphic>
          </wp:inline>
        </w:drawing>
      </w:r>
    </w:p>
    <w:p w:rsidR="00CE242F" w:rsidRDefault="00CE242F" w:rsidP="0094349A">
      <w:pPr>
        <w:jc w:val="center"/>
        <w:rPr>
          <w:rFonts w:ascii="Nimbus Roman No9 L" w:eastAsia="Times New Roman" w:hAnsi="Nimbus Roman No9 L" w:cs="Lohit Devanagari"/>
          <w:iCs/>
          <w:color w:val="000000"/>
          <w:lang w:val="en-GB" w:eastAsia="zh-CN"/>
        </w:rPr>
      </w:pPr>
      <w:proofErr w:type="gramStart"/>
      <w:r>
        <w:rPr>
          <w:rFonts w:ascii="Nimbus Roman No9 L" w:eastAsia="Times New Roman" w:hAnsi="Nimbus Roman No9 L" w:cs="Lohit Devanagari"/>
          <w:iCs/>
          <w:color w:val="000000"/>
          <w:lang w:val="en-GB" w:eastAsia="zh-CN"/>
        </w:rPr>
        <w:t xml:space="preserve">Figure </w:t>
      </w:r>
      <w:r>
        <w:rPr>
          <w:rFonts w:ascii="Nimbus Roman No9 L" w:eastAsia="Times New Roman" w:hAnsi="Nimbus Roman No9 L"/>
          <w:iCs/>
          <w:color w:val="000000"/>
          <w:lang w:val="en-GB"/>
        </w:rPr>
        <w:t>5</w:t>
      </w:r>
      <w:r>
        <w:rPr>
          <w:rFonts w:ascii="Nimbus Roman No9 L" w:eastAsia="Times New Roman" w:hAnsi="Nimbus Roman No9 L" w:cs="Lohit Devanagari"/>
          <w:iCs/>
          <w:color w:val="000000"/>
          <w:lang w:val="en-GB" w:eastAsia="zh-CN"/>
        </w:rPr>
        <w:t>.</w:t>
      </w:r>
      <w:proofErr w:type="gramEnd"/>
      <w:r>
        <w:rPr>
          <w:rFonts w:ascii="Nimbus Roman No9 L" w:eastAsia="Times New Roman" w:hAnsi="Nimbus Roman No9 L" w:cs="Lohit Devanagari"/>
          <w:iCs/>
          <w:color w:val="000000"/>
          <w:lang w:val="en-GB" w:eastAsia="zh-CN"/>
        </w:rPr>
        <w:t xml:space="preserve"> Structural analysis of simulated HP pile</w:t>
      </w:r>
    </w:p>
    <w:p w:rsidR="001D05D4" w:rsidRDefault="001D05D4" w:rsidP="005E41B2">
      <w:pPr>
        <w:jc w:val="both"/>
        <w:rPr>
          <w:rFonts w:ascii="Nimbus Roman No9 L" w:eastAsia="Times New Roman" w:hAnsi="Nimbus Roman No9 L" w:cs="Lohit Devanagari"/>
          <w:iCs/>
          <w:color w:val="000000"/>
          <w:lang w:val="en-GB" w:eastAsia="zh-CN"/>
        </w:rPr>
      </w:pPr>
    </w:p>
    <w:p w:rsidR="00E26718" w:rsidRDefault="001D05D4" w:rsidP="0094349A">
      <w:pPr>
        <w:jc w:val="center"/>
        <w:rPr>
          <w:rFonts w:ascii="Nimbus Roman No9 L" w:eastAsia="Times New Roman" w:hAnsi="Nimbus Roman No9 L"/>
          <w:iCs/>
          <w:color w:val="000000"/>
          <w:lang w:val="en-GB"/>
        </w:rPr>
      </w:pPr>
      <w:r>
        <w:rPr>
          <w:noProof/>
          <w:lang w:val="en-US" w:eastAsia="en-US"/>
        </w:rPr>
        <w:drawing>
          <wp:inline distT="0" distB="0" distL="0" distR="0" wp14:anchorId="7E432095" wp14:editId="7045E1AC">
            <wp:extent cx="1806854" cy="1639672"/>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809591" cy="1642156"/>
                    </a:xfrm>
                    <a:prstGeom prst="rect">
                      <a:avLst/>
                    </a:prstGeom>
                  </pic:spPr>
                </pic:pic>
              </a:graphicData>
            </a:graphic>
          </wp:inline>
        </w:drawing>
      </w:r>
      <w:r>
        <w:rPr>
          <w:noProof/>
          <w:lang w:val="en-US" w:eastAsia="en-US"/>
        </w:rPr>
        <w:drawing>
          <wp:inline distT="0" distB="0" distL="0" distR="0" wp14:anchorId="003D6F19" wp14:editId="4FDBC3AF">
            <wp:extent cx="1792224" cy="16072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791381" cy="1606505"/>
                    </a:xfrm>
                    <a:prstGeom prst="rect">
                      <a:avLst/>
                    </a:prstGeom>
                  </pic:spPr>
                </pic:pic>
              </a:graphicData>
            </a:graphic>
          </wp:inline>
        </w:drawing>
      </w:r>
      <w:r>
        <w:rPr>
          <w:noProof/>
          <w:lang w:val="en-US" w:eastAsia="en-US"/>
        </w:rPr>
        <w:drawing>
          <wp:inline distT="0" distB="0" distL="0" distR="0" wp14:anchorId="5060E17E" wp14:editId="2FB7843A">
            <wp:extent cx="1778632" cy="160202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787486" cy="1610004"/>
                    </a:xfrm>
                    <a:prstGeom prst="rect">
                      <a:avLst/>
                    </a:prstGeom>
                  </pic:spPr>
                </pic:pic>
              </a:graphicData>
            </a:graphic>
          </wp:inline>
        </w:drawing>
      </w:r>
    </w:p>
    <w:p w:rsidR="00E26718" w:rsidRDefault="00E26718" w:rsidP="0094349A">
      <w:pPr>
        <w:jc w:val="center"/>
        <w:rPr>
          <w:rFonts w:ascii="Nimbus Roman No9 L" w:eastAsia="Times New Roman" w:hAnsi="Nimbus Roman No9 L" w:cs="Lohit Devanagari"/>
          <w:iCs/>
          <w:color w:val="000000"/>
          <w:lang w:val="en-GB" w:eastAsia="zh-CN"/>
        </w:rPr>
      </w:pPr>
      <w:proofErr w:type="gramStart"/>
      <w:r>
        <w:rPr>
          <w:rFonts w:ascii="Nimbus Roman No9 L" w:eastAsia="Times New Roman" w:hAnsi="Nimbus Roman No9 L" w:cs="Lohit Devanagari"/>
          <w:iCs/>
          <w:color w:val="000000"/>
          <w:lang w:val="en-GB" w:eastAsia="zh-CN"/>
        </w:rPr>
        <w:t xml:space="preserve">Figure </w:t>
      </w:r>
      <w:r>
        <w:rPr>
          <w:rFonts w:ascii="Nimbus Roman No9 L" w:eastAsia="Times New Roman" w:hAnsi="Nimbus Roman No9 L"/>
          <w:iCs/>
          <w:color w:val="000000"/>
          <w:lang w:val="en-GB"/>
        </w:rPr>
        <w:t>6</w:t>
      </w:r>
      <w:r>
        <w:rPr>
          <w:rFonts w:ascii="Nimbus Roman No9 L" w:eastAsia="Times New Roman" w:hAnsi="Nimbus Roman No9 L" w:cs="Lohit Devanagari"/>
          <w:iCs/>
          <w:color w:val="000000"/>
          <w:lang w:val="en-GB" w:eastAsia="zh-CN"/>
        </w:rPr>
        <w:t>.</w:t>
      </w:r>
      <w:proofErr w:type="gramEnd"/>
      <w:r>
        <w:rPr>
          <w:rFonts w:ascii="Nimbus Roman No9 L" w:eastAsia="Times New Roman" w:hAnsi="Nimbus Roman No9 L" w:cs="Lohit Devanagari"/>
          <w:iCs/>
          <w:color w:val="000000"/>
          <w:lang w:val="en-GB" w:eastAsia="zh-CN"/>
        </w:rPr>
        <w:t xml:space="preserve"> Structural analysis of simulated LG pile</w:t>
      </w:r>
    </w:p>
    <w:p w:rsidR="001D05D4" w:rsidRDefault="001D05D4" w:rsidP="005E41B2">
      <w:pPr>
        <w:jc w:val="both"/>
        <w:rPr>
          <w:rFonts w:ascii="Nimbus Roman No9 L" w:eastAsia="Times New Roman" w:hAnsi="Nimbus Roman No9 L"/>
          <w:iCs/>
          <w:color w:val="000000"/>
          <w:lang w:val="en-GB"/>
        </w:rPr>
      </w:pPr>
    </w:p>
    <w:p w:rsidR="00F052F8" w:rsidRDefault="00E26718" w:rsidP="0094349A">
      <w:pPr>
        <w:jc w:val="both"/>
        <w:rPr>
          <w:lang w:val="en-GB"/>
        </w:rPr>
      </w:pPr>
      <w:r>
        <w:rPr>
          <w:rFonts w:eastAsia="文泉驛正黑"/>
          <w:lang w:val="en-GB" w:eastAsia="zh-CN" w:bidi="hi-IN"/>
        </w:rPr>
        <w:lastRenderedPageBreak/>
        <w:t>By comparison of the structural analysis of estimated blocks (in HP and LG areas which were transported to the mentioned piles) and piles data</w:t>
      </w:r>
      <w:r>
        <w:rPr>
          <w:lang w:val="en-GB"/>
        </w:rPr>
        <w:t xml:space="preserve">, </w:t>
      </w:r>
      <w:r>
        <w:rPr>
          <w:rFonts w:eastAsia="文泉驛正黑"/>
          <w:lang w:val="en-GB" w:eastAsia="zh-CN" w:bidi="hi-IN"/>
        </w:rPr>
        <w:t>the main statistical parameters are constant as it is expected</w:t>
      </w:r>
      <w:r>
        <w:rPr>
          <w:lang w:val="en-GB"/>
        </w:rPr>
        <w:t>.</w:t>
      </w:r>
    </w:p>
    <w:p w:rsidR="00F84261" w:rsidRDefault="00F84261" w:rsidP="0094349A">
      <w:pPr>
        <w:pStyle w:val="Caption"/>
        <w:keepNext/>
        <w:jc w:val="center"/>
        <w:rPr>
          <w:i w:val="0"/>
          <w:lang w:val="en-US"/>
        </w:rPr>
      </w:pPr>
      <w:r>
        <w:rPr>
          <w:i w:val="0"/>
          <w:lang w:val="en-US"/>
        </w:rPr>
        <w:t xml:space="preserve">Table </w:t>
      </w:r>
      <w:r>
        <w:rPr>
          <w:i w:val="0"/>
        </w:rPr>
        <w:fldChar w:fldCharType="begin"/>
      </w:r>
      <w:r>
        <w:rPr>
          <w:i w:val="0"/>
          <w:lang w:val="en-US"/>
        </w:rPr>
        <w:instrText xml:space="preserve"> SEQ Tableau \* ARABIC </w:instrText>
      </w:r>
      <w:r>
        <w:rPr>
          <w:i w:val="0"/>
        </w:rPr>
        <w:fldChar w:fldCharType="separate"/>
      </w:r>
      <w:r>
        <w:rPr>
          <w:i w:val="0"/>
          <w:noProof/>
          <w:lang w:val="en-US"/>
        </w:rPr>
        <w:t>1</w:t>
      </w:r>
      <w:r>
        <w:rPr>
          <w:i w:val="0"/>
        </w:rPr>
        <w:fldChar w:fldCharType="end"/>
      </w:r>
      <w:r>
        <w:rPr>
          <w:i w:val="0"/>
          <w:lang w:val="en-GB"/>
        </w:rPr>
        <w:t>a</w:t>
      </w:r>
      <w:r>
        <w:rPr>
          <w:i w:val="0"/>
          <w:lang w:val="en-US"/>
        </w:rPr>
        <w:t>: comparison of variogram parameters of structured component (</w:t>
      </w:r>
      <w:r w:rsidR="001954CB">
        <w:rPr>
          <w:i w:val="0"/>
          <w:lang w:val="en-US"/>
        </w:rPr>
        <w:t>s</w:t>
      </w:r>
      <w:r w:rsidR="00F052F8">
        <w:rPr>
          <w:i w:val="0"/>
          <w:lang w:val="en-US"/>
        </w:rPr>
        <w:t>ph</w:t>
      </w:r>
      <w:r w:rsidR="001954CB">
        <w:rPr>
          <w:i w:val="0"/>
          <w:lang w:val="en-US"/>
        </w:rPr>
        <w:t>erical</w:t>
      </w:r>
      <w:r>
        <w:rPr>
          <w:i w:val="0"/>
          <w:lang w:val="en-US"/>
        </w:rPr>
        <w:t>/spherical) in</w:t>
      </w:r>
      <w:r w:rsidR="00F052F8">
        <w:rPr>
          <w:i w:val="0"/>
          <w:lang w:val="en-US"/>
        </w:rPr>
        <w:t xml:space="preserve"> </w:t>
      </w:r>
      <w:r>
        <w:rPr>
          <w:i w:val="0"/>
          <w:lang w:val="en-US"/>
        </w:rPr>
        <w:t>stockpiles and deposit blocks</w:t>
      </w:r>
    </w:p>
    <w:tbl>
      <w:tblPr>
        <w:tblStyle w:val="LightShading-Accent1"/>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446"/>
        <w:gridCol w:w="1616"/>
        <w:gridCol w:w="1545"/>
        <w:gridCol w:w="1505"/>
        <w:gridCol w:w="1906"/>
      </w:tblGrid>
      <w:tr w:rsidR="00781AB8" w:rsidTr="00094564">
        <w:trPr>
          <w:cnfStyle w:val="100000000000" w:firstRow="1" w:lastRow="0" w:firstColumn="0" w:lastColumn="0" w:oddVBand="0" w:evenVBand="0" w:oddHBand="0" w:evenHBand="0" w:firstRowFirstColumn="0" w:firstRowLastColumn="0" w:lastRowFirstColumn="0" w:lastRowLastColumn="0"/>
          <w:trHeight w:val="314"/>
          <w:jc w:val="center"/>
        </w:trPr>
        <w:tc>
          <w:tcPr>
            <w:cnfStyle w:val="001000000000" w:firstRow="0" w:lastRow="0" w:firstColumn="1" w:lastColumn="0" w:oddVBand="0" w:evenVBand="0" w:oddHBand="0" w:evenHBand="0" w:firstRowFirstColumn="0" w:firstRowLastColumn="0" w:lastRowFirstColumn="0" w:lastRowLastColumn="0"/>
            <w:tcW w:w="1558" w:type="dxa"/>
            <w:tcBorders>
              <w:top w:val="none" w:sz="0" w:space="0" w:color="auto"/>
              <w:left w:val="none" w:sz="0" w:space="0" w:color="auto"/>
              <w:bottom w:val="none" w:sz="0" w:space="0" w:color="auto"/>
              <w:right w:val="none" w:sz="0" w:space="0" w:color="auto"/>
            </w:tcBorders>
            <w:shd w:val="clear" w:color="auto" w:fill="auto"/>
            <w:vAlign w:val="center"/>
            <w:hideMark/>
          </w:tcPr>
          <w:p w:rsidR="00781AB8" w:rsidRPr="0029495C" w:rsidRDefault="00781AB8" w:rsidP="0094349A">
            <w:pPr>
              <w:jc w:val="center"/>
              <w:rPr>
                <w:b w:val="0"/>
                <w:bCs w:val="0"/>
                <w:color w:val="auto"/>
              </w:rPr>
            </w:pPr>
            <w:r w:rsidRPr="0029495C">
              <w:rPr>
                <w:b w:val="0"/>
                <w:bCs w:val="0"/>
                <w:color w:val="auto"/>
              </w:rPr>
              <w:t>hp</w:t>
            </w:r>
          </w:p>
        </w:tc>
        <w:tc>
          <w:tcPr>
            <w:tcW w:w="1446" w:type="dxa"/>
            <w:tcBorders>
              <w:top w:val="none" w:sz="0" w:space="0" w:color="auto"/>
              <w:left w:val="none" w:sz="0" w:space="0" w:color="auto"/>
              <w:bottom w:val="none" w:sz="0" w:space="0" w:color="auto"/>
              <w:right w:val="none" w:sz="0" w:space="0" w:color="auto"/>
            </w:tcBorders>
            <w:shd w:val="clear" w:color="auto" w:fill="auto"/>
            <w:vAlign w:val="center"/>
          </w:tcPr>
          <w:p w:rsidR="00781AB8" w:rsidRPr="0029495C" w:rsidRDefault="00781AB8"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Model</w:t>
            </w:r>
          </w:p>
        </w:tc>
        <w:tc>
          <w:tcPr>
            <w:tcW w:w="1616" w:type="dxa"/>
            <w:tcBorders>
              <w:top w:val="none" w:sz="0" w:space="0" w:color="auto"/>
              <w:left w:val="none" w:sz="0" w:space="0" w:color="auto"/>
              <w:bottom w:val="none" w:sz="0" w:space="0" w:color="auto"/>
              <w:right w:val="none" w:sz="0" w:space="0" w:color="auto"/>
            </w:tcBorders>
            <w:shd w:val="clear" w:color="auto" w:fill="auto"/>
            <w:vAlign w:val="center"/>
            <w:hideMark/>
          </w:tcPr>
          <w:p w:rsidR="00781AB8" w:rsidRPr="0029495C" w:rsidRDefault="00781AB8"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Range(m)</w:t>
            </w:r>
          </w:p>
        </w:tc>
        <w:tc>
          <w:tcPr>
            <w:tcW w:w="1545" w:type="dxa"/>
            <w:tcBorders>
              <w:top w:val="none" w:sz="0" w:space="0" w:color="auto"/>
              <w:left w:val="none" w:sz="0" w:space="0" w:color="auto"/>
              <w:bottom w:val="none" w:sz="0" w:space="0" w:color="auto"/>
              <w:right w:val="none" w:sz="0" w:space="0" w:color="auto"/>
            </w:tcBorders>
            <w:shd w:val="clear" w:color="auto" w:fill="auto"/>
            <w:vAlign w:val="center"/>
            <w:hideMark/>
          </w:tcPr>
          <w:p w:rsidR="00781AB8" w:rsidRPr="0029495C" w:rsidRDefault="00781AB8"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Sill</w:t>
            </w:r>
            <w:r w:rsidR="002A1ED3">
              <w:rPr>
                <w:b w:val="0"/>
                <w:bCs w:val="0"/>
                <w:color w:val="auto"/>
              </w:rPr>
              <w:t>-</w:t>
            </w:r>
            <w:r w:rsidRPr="0029495C">
              <w:rPr>
                <w:b w:val="0"/>
                <w:bCs w:val="0"/>
                <w:color w:val="auto"/>
              </w:rPr>
              <w:t>fe</w:t>
            </w:r>
          </w:p>
        </w:tc>
        <w:tc>
          <w:tcPr>
            <w:tcW w:w="1505" w:type="dxa"/>
            <w:tcBorders>
              <w:top w:val="none" w:sz="0" w:space="0" w:color="auto"/>
              <w:left w:val="none" w:sz="0" w:space="0" w:color="auto"/>
              <w:bottom w:val="none" w:sz="0" w:space="0" w:color="auto"/>
              <w:right w:val="none" w:sz="0" w:space="0" w:color="auto"/>
            </w:tcBorders>
            <w:shd w:val="clear" w:color="auto" w:fill="auto"/>
            <w:vAlign w:val="center"/>
            <w:hideMark/>
          </w:tcPr>
          <w:p w:rsidR="00781AB8" w:rsidRPr="0029495C" w:rsidRDefault="00781AB8"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Sill-p</w:t>
            </w:r>
          </w:p>
        </w:tc>
        <w:tc>
          <w:tcPr>
            <w:tcW w:w="1906" w:type="dxa"/>
            <w:tcBorders>
              <w:top w:val="none" w:sz="0" w:space="0" w:color="auto"/>
              <w:left w:val="none" w:sz="0" w:space="0" w:color="auto"/>
              <w:bottom w:val="none" w:sz="0" w:space="0" w:color="auto"/>
              <w:right w:val="none" w:sz="0" w:space="0" w:color="auto"/>
            </w:tcBorders>
            <w:shd w:val="clear" w:color="auto" w:fill="auto"/>
            <w:vAlign w:val="center"/>
            <w:hideMark/>
          </w:tcPr>
          <w:p w:rsidR="00781AB8" w:rsidRPr="0029495C" w:rsidRDefault="00781AB8"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Sill Fe/P</w:t>
            </w:r>
          </w:p>
        </w:tc>
      </w:tr>
      <w:tr w:rsidR="003E6A7B" w:rsidTr="00094564">
        <w:trPr>
          <w:cnfStyle w:val="000000100000" w:firstRow="0" w:lastRow="0" w:firstColumn="0" w:lastColumn="0" w:oddVBand="0" w:evenVBand="0" w:oddHBand="1" w:evenHBand="0" w:firstRowFirstColumn="0" w:firstRowLastColumn="0" w:lastRowFirstColumn="0" w:lastRowLastColumn="0"/>
          <w:trHeight w:val="338"/>
          <w:jc w:val="center"/>
        </w:trPr>
        <w:tc>
          <w:tcPr>
            <w:cnfStyle w:val="001000000000" w:firstRow="0" w:lastRow="0" w:firstColumn="1" w:lastColumn="0" w:oddVBand="0" w:evenVBand="0" w:oddHBand="0" w:evenHBand="0" w:firstRowFirstColumn="0" w:firstRowLastColumn="0" w:lastRowFirstColumn="0" w:lastRowLastColumn="0"/>
            <w:tcW w:w="1558" w:type="dxa"/>
            <w:vMerge w:val="restart"/>
            <w:tcBorders>
              <w:left w:val="none" w:sz="0" w:space="0" w:color="auto"/>
              <w:right w:val="none" w:sz="0" w:space="0" w:color="auto"/>
            </w:tcBorders>
            <w:shd w:val="clear" w:color="auto" w:fill="auto"/>
            <w:vAlign w:val="center"/>
            <w:hideMark/>
          </w:tcPr>
          <w:p w:rsidR="003E6A7B" w:rsidRPr="00800BC6" w:rsidRDefault="003E6A7B" w:rsidP="0094349A">
            <w:pPr>
              <w:jc w:val="center"/>
              <w:rPr>
                <w:color w:val="auto"/>
              </w:rPr>
            </w:pPr>
            <w:r w:rsidRPr="0029495C">
              <w:rPr>
                <w:b w:val="0"/>
                <w:bCs w:val="0"/>
                <w:color w:val="auto"/>
              </w:rPr>
              <w:t>Hp-blocks</w:t>
            </w:r>
          </w:p>
        </w:tc>
        <w:tc>
          <w:tcPr>
            <w:tcW w:w="1446" w:type="dxa"/>
            <w:vMerge w:val="restart"/>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Spherical</w:t>
            </w:r>
          </w:p>
        </w:tc>
        <w:tc>
          <w:tcPr>
            <w:tcW w:w="1616" w:type="dxa"/>
            <w:tcBorders>
              <w:left w:val="none" w:sz="0" w:space="0" w:color="auto"/>
              <w:right w:val="none" w:sz="0" w:space="0" w:color="auto"/>
            </w:tcBorders>
            <w:shd w:val="clear" w:color="auto" w:fill="auto"/>
            <w:vAlign w:val="center"/>
          </w:tcPr>
          <w:p w:rsidR="003E6A7B" w:rsidRPr="0029495C" w:rsidRDefault="003A0EA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8</w:t>
            </w:r>
          </w:p>
        </w:tc>
        <w:tc>
          <w:tcPr>
            <w:tcW w:w="1545" w:type="dxa"/>
            <w:tcBorders>
              <w:left w:val="none" w:sz="0" w:space="0" w:color="auto"/>
              <w:right w:val="none" w:sz="0" w:space="0" w:color="auto"/>
            </w:tcBorders>
            <w:shd w:val="clear" w:color="auto" w:fill="auto"/>
            <w:vAlign w:val="center"/>
          </w:tcPr>
          <w:p w:rsidR="003E6A7B" w:rsidRPr="0029495C" w:rsidRDefault="00240792"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3.7</w:t>
            </w:r>
          </w:p>
        </w:tc>
        <w:tc>
          <w:tcPr>
            <w:tcW w:w="1505" w:type="dxa"/>
            <w:tcBorders>
              <w:left w:val="none" w:sz="0" w:space="0" w:color="auto"/>
              <w:right w:val="none" w:sz="0" w:space="0" w:color="auto"/>
            </w:tcBorders>
            <w:shd w:val="clear" w:color="auto" w:fill="auto"/>
            <w:vAlign w:val="center"/>
          </w:tcPr>
          <w:p w:rsidR="003E6A7B" w:rsidRPr="0029495C" w:rsidRDefault="00E50A0A"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0.005</w:t>
            </w:r>
          </w:p>
        </w:tc>
        <w:tc>
          <w:tcPr>
            <w:tcW w:w="1906" w:type="dxa"/>
            <w:tcBorders>
              <w:left w:val="none" w:sz="0" w:space="0" w:color="auto"/>
              <w:right w:val="none" w:sz="0" w:space="0" w:color="auto"/>
            </w:tcBorders>
            <w:shd w:val="clear" w:color="auto" w:fill="auto"/>
            <w:vAlign w:val="center"/>
          </w:tcPr>
          <w:p w:rsidR="003E6A7B" w:rsidRPr="0029495C" w:rsidRDefault="00E50A0A"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0.06</w:t>
            </w:r>
          </w:p>
        </w:tc>
      </w:tr>
      <w:tr w:rsidR="003E6A7B" w:rsidTr="00094564">
        <w:trPr>
          <w:trHeight w:val="338"/>
          <w:jc w:val="center"/>
        </w:trPr>
        <w:tc>
          <w:tcPr>
            <w:cnfStyle w:val="001000000000" w:firstRow="0" w:lastRow="0" w:firstColumn="1" w:lastColumn="0" w:oddVBand="0" w:evenVBand="0" w:oddHBand="0" w:evenHBand="0" w:firstRowFirstColumn="0" w:firstRowLastColumn="0" w:lastRowFirstColumn="0" w:lastRowLastColumn="0"/>
            <w:tcW w:w="1558" w:type="dxa"/>
            <w:vMerge/>
            <w:shd w:val="clear" w:color="auto" w:fill="auto"/>
            <w:vAlign w:val="center"/>
          </w:tcPr>
          <w:p w:rsidR="003E6A7B" w:rsidRPr="0029495C" w:rsidRDefault="003E6A7B" w:rsidP="0094349A">
            <w:pPr>
              <w:jc w:val="center"/>
              <w:rPr>
                <w:b w:val="0"/>
                <w:bCs w:val="0"/>
                <w:color w:val="auto"/>
              </w:rPr>
            </w:pPr>
          </w:p>
        </w:tc>
        <w:tc>
          <w:tcPr>
            <w:tcW w:w="1446" w:type="dxa"/>
            <w:vMerge/>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616" w:type="dxa"/>
            <w:shd w:val="clear" w:color="auto" w:fill="auto"/>
            <w:vAlign w:val="center"/>
          </w:tcPr>
          <w:p w:rsidR="003E6A7B" w:rsidRPr="0029495C" w:rsidRDefault="003A0EA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35</w:t>
            </w:r>
          </w:p>
        </w:tc>
        <w:tc>
          <w:tcPr>
            <w:tcW w:w="1545" w:type="dxa"/>
            <w:shd w:val="clear" w:color="auto" w:fill="auto"/>
            <w:vAlign w:val="center"/>
          </w:tcPr>
          <w:p w:rsidR="003E6A7B" w:rsidRPr="0029495C" w:rsidRDefault="00240792"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0.8</w:t>
            </w:r>
          </w:p>
        </w:tc>
        <w:tc>
          <w:tcPr>
            <w:tcW w:w="1505" w:type="dxa"/>
            <w:shd w:val="clear" w:color="auto" w:fill="auto"/>
            <w:vAlign w:val="center"/>
          </w:tcPr>
          <w:p w:rsidR="003E6A7B" w:rsidRPr="0029495C" w:rsidRDefault="00E50A0A"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0.028</w:t>
            </w:r>
          </w:p>
        </w:tc>
        <w:tc>
          <w:tcPr>
            <w:tcW w:w="1906" w:type="dxa"/>
            <w:shd w:val="clear" w:color="auto" w:fill="auto"/>
            <w:vAlign w:val="center"/>
          </w:tcPr>
          <w:p w:rsidR="003E6A7B" w:rsidRPr="0029495C" w:rsidRDefault="00E50A0A"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0</w:t>
            </w:r>
          </w:p>
        </w:tc>
      </w:tr>
      <w:tr w:rsidR="003E6A7B" w:rsidTr="00094564">
        <w:trPr>
          <w:cnfStyle w:val="000000100000" w:firstRow="0" w:lastRow="0" w:firstColumn="0" w:lastColumn="0" w:oddVBand="0" w:evenVBand="0" w:oddHBand="1"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1558" w:type="dxa"/>
            <w:vMerge w:val="restart"/>
            <w:tcBorders>
              <w:left w:val="none" w:sz="0" w:space="0" w:color="auto"/>
              <w:right w:val="none" w:sz="0" w:space="0" w:color="auto"/>
            </w:tcBorders>
            <w:shd w:val="clear" w:color="auto" w:fill="auto"/>
            <w:vAlign w:val="center"/>
            <w:hideMark/>
          </w:tcPr>
          <w:p w:rsidR="003E6A7B" w:rsidRPr="0029495C" w:rsidRDefault="003E6A7B" w:rsidP="0094349A">
            <w:pPr>
              <w:jc w:val="center"/>
              <w:rPr>
                <w:b w:val="0"/>
                <w:bCs w:val="0"/>
                <w:color w:val="auto"/>
              </w:rPr>
            </w:pPr>
            <w:r w:rsidRPr="0029495C">
              <w:rPr>
                <w:b w:val="0"/>
                <w:bCs w:val="0"/>
                <w:color w:val="auto"/>
              </w:rPr>
              <w:t>Hp-pile</w:t>
            </w:r>
          </w:p>
        </w:tc>
        <w:tc>
          <w:tcPr>
            <w:tcW w:w="1446" w:type="dxa"/>
            <w:vMerge w:val="restart"/>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Spherical</w:t>
            </w:r>
          </w:p>
        </w:tc>
        <w:tc>
          <w:tcPr>
            <w:tcW w:w="1616" w:type="dxa"/>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15</w:t>
            </w:r>
          </w:p>
        </w:tc>
        <w:tc>
          <w:tcPr>
            <w:tcW w:w="1545" w:type="dxa"/>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2.8</w:t>
            </w:r>
          </w:p>
        </w:tc>
        <w:tc>
          <w:tcPr>
            <w:tcW w:w="1505" w:type="dxa"/>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0.008</w:t>
            </w:r>
          </w:p>
        </w:tc>
        <w:tc>
          <w:tcPr>
            <w:tcW w:w="1906" w:type="dxa"/>
            <w:tcBorders>
              <w:left w:val="none" w:sz="0" w:space="0" w:color="auto"/>
              <w:right w:val="none" w:sz="0" w:space="0" w:color="auto"/>
            </w:tcBorders>
            <w:shd w:val="clear" w:color="auto" w:fill="auto"/>
            <w:vAlign w:val="center"/>
          </w:tcPr>
          <w:p w:rsidR="003E6A7B" w:rsidRPr="0029495C" w:rsidRDefault="003E6A7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0.1</w:t>
            </w:r>
          </w:p>
        </w:tc>
      </w:tr>
      <w:tr w:rsidR="003E6A7B" w:rsidTr="00094564">
        <w:trPr>
          <w:trHeight w:val="319"/>
          <w:jc w:val="center"/>
        </w:trPr>
        <w:tc>
          <w:tcPr>
            <w:cnfStyle w:val="001000000000" w:firstRow="0" w:lastRow="0" w:firstColumn="1" w:lastColumn="0" w:oddVBand="0" w:evenVBand="0" w:oddHBand="0" w:evenHBand="0" w:firstRowFirstColumn="0" w:firstRowLastColumn="0" w:lastRowFirstColumn="0" w:lastRowLastColumn="0"/>
            <w:tcW w:w="1558" w:type="dxa"/>
            <w:vMerge/>
            <w:shd w:val="clear" w:color="auto" w:fill="auto"/>
            <w:vAlign w:val="center"/>
          </w:tcPr>
          <w:p w:rsidR="003E6A7B" w:rsidRPr="0029495C" w:rsidRDefault="003E6A7B" w:rsidP="0094349A">
            <w:pPr>
              <w:jc w:val="center"/>
              <w:rPr>
                <w:b w:val="0"/>
                <w:bCs w:val="0"/>
                <w:color w:val="auto"/>
              </w:rPr>
            </w:pPr>
          </w:p>
        </w:tc>
        <w:tc>
          <w:tcPr>
            <w:tcW w:w="1446" w:type="dxa"/>
            <w:vMerge/>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616" w:type="dxa"/>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60</w:t>
            </w:r>
          </w:p>
        </w:tc>
        <w:tc>
          <w:tcPr>
            <w:tcW w:w="1545" w:type="dxa"/>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1.7</w:t>
            </w:r>
          </w:p>
        </w:tc>
        <w:tc>
          <w:tcPr>
            <w:tcW w:w="1505" w:type="dxa"/>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0.025</w:t>
            </w:r>
          </w:p>
        </w:tc>
        <w:tc>
          <w:tcPr>
            <w:tcW w:w="1906" w:type="dxa"/>
            <w:shd w:val="clear" w:color="auto" w:fill="auto"/>
            <w:vAlign w:val="center"/>
          </w:tcPr>
          <w:p w:rsidR="003E6A7B" w:rsidRPr="0029495C" w:rsidRDefault="003E6A7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29495C">
              <w:rPr>
                <w:color w:val="auto"/>
              </w:rPr>
              <w:t>0.03</w:t>
            </w:r>
          </w:p>
        </w:tc>
      </w:tr>
      <w:tr w:rsidR="00781AB8" w:rsidTr="00094564">
        <w:trPr>
          <w:cnfStyle w:val="000000100000" w:firstRow="0" w:lastRow="0" w:firstColumn="0" w:lastColumn="0" w:oddVBand="0" w:evenVBand="0" w:oddHBand="1" w:evenHBand="0" w:firstRowFirstColumn="0" w:firstRowLastColumn="0" w:lastRowFirstColumn="0" w:lastRowLastColumn="0"/>
          <w:trHeight w:val="338"/>
          <w:jc w:val="center"/>
        </w:trPr>
        <w:tc>
          <w:tcPr>
            <w:cnfStyle w:val="001000000000" w:firstRow="0" w:lastRow="0" w:firstColumn="1" w:lastColumn="0" w:oddVBand="0" w:evenVBand="0" w:oddHBand="0" w:evenHBand="0" w:firstRowFirstColumn="0" w:firstRowLastColumn="0" w:lastRowFirstColumn="0" w:lastRowLastColumn="0"/>
            <w:tcW w:w="1558" w:type="dxa"/>
            <w:tcBorders>
              <w:left w:val="none" w:sz="0" w:space="0" w:color="auto"/>
              <w:right w:val="none" w:sz="0" w:space="0" w:color="auto"/>
            </w:tcBorders>
            <w:shd w:val="clear" w:color="auto" w:fill="auto"/>
            <w:vAlign w:val="center"/>
            <w:hideMark/>
          </w:tcPr>
          <w:p w:rsidR="00781AB8" w:rsidRPr="00A314E3" w:rsidRDefault="00781AB8" w:rsidP="0094349A">
            <w:pPr>
              <w:jc w:val="center"/>
              <w:rPr>
                <w:b w:val="0"/>
                <w:bCs w:val="0"/>
                <w:color w:val="auto"/>
              </w:rPr>
            </w:pPr>
            <w:r w:rsidRPr="00A314E3">
              <w:rPr>
                <w:b w:val="0"/>
                <w:bCs w:val="0"/>
                <w:color w:val="auto"/>
              </w:rPr>
              <w:t>Lg-blocks</w:t>
            </w:r>
          </w:p>
        </w:tc>
        <w:tc>
          <w:tcPr>
            <w:tcW w:w="1446" w:type="dxa"/>
            <w:tcBorders>
              <w:left w:val="none" w:sz="0" w:space="0" w:color="auto"/>
              <w:right w:val="none" w:sz="0" w:space="0" w:color="auto"/>
            </w:tcBorders>
            <w:shd w:val="clear" w:color="auto" w:fill="auto"/>
            <w:vAlign w:val="center"/>
          </w:tcPr>
          <w:p w:rsidR="00781AB8"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Spherical</w:t>
            </w:r>
          </w:p>
        </w:tc>
        <w:tc>
          <w:tcPr>
            <w:tcW w:w="1616" w:type="dxa"/>
            <w:tcBorders>
              <w:left w:val="none" w:sz="0" w:space="0" w:color="auto"/>
              <w:right w:val="none" w:sz="0" w:space="0" w:color="auto"/>
            </w:tcBorders>
            <w:shd w:val="clear" w:color="auto" w:fill="auto"/>
            <w:vAlign w:val="center"/>
          </w:tcPr>
          <w:p w:rsidR="00781AB8"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7</w:t>
            </w:r>
          </w:p>
        </w:tc>
        <w:tc>
          <w:tcPr>
            <w:tcW w:w="1545" w:type="dxa"/>
            <w:tcBorders>
              <w:left w:val="none" w:sz="0" w:space="0" w:color="auto"/>
              <w:right w:val="none" w:sz="0" w:space="0" w:color="auto"/>
            </w:tcBorders>
            <w:shd w:val="clear" w:color="auto" w:fill="auto"/>
            <w:vAlign w:val="center"/>
          </w:tcPr>
          <w:p w:rsidR="00781AB8"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22</w:t>
            </w:r>
          </w:p>
        </w:tc>
        <w:tc>
          <w:tcPr>
            <w:tcW w:w="1505" w:type="dxa"/>
            <w:tcBorders>
              <w:left w:val="none" w:sz="0" w:space="0" w:color="auto"/>
              <w:right w:val="none" w:sz="0" w:space="0" w:color="auto"/>
            </w:tcBorders>
            <w:shd w:val="clear" w:color="auto" w:fill="auto"/>
            <w:vAlign w:val="center"/>
          </w:tcPr>
          <w:p w:rsidR="00781AB8"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0.235</w:t>
            </w:r>
          </w:p>
        </w:tc>
        <w:tc>
          <w:tcPr>
            <w:tcW w:w="1906" w:type="dxa"/>
            <w:tcBorders>
              <w:left w:val="none" w:sz="0" w:space="0" w:color="auto"/>
              <w:right w:val="none" w:sz="0" w:space="0" w:color="auto"/>
            </w:tcBorders>
            <w:shd w:val="clear" w:color="auto" w:fill="auto"/>
            <w:vAlign w:val="center"/>
          </w:tcPr>
          <w:p w:rsidR="00781AB8"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1.51</w:t>
            </w:r>
          </w:p>
        </w:tc>
      </w:tr>
      <w:tr w:rsidR="00781AB8" w:rsidTr="00094564">
        <w:trPr>
          <w:trHeight w:val="338"/>
          <w:jc w:val="center"/>
        </w:trPr>
        <w:tc>
          <w:tcPr>
            <w:cnfStyle w:val="001000000000" w:firstRow="0" w:lastRow="0" w:firstColumn="1" w:lastColumn="0" w:oddVBand="0" w:evenVBand="0" w:oddHBand="0" w:evenHBand="0" w:firstRowFirstColumn="0" w:firstRowLastColumn="0" w:lastRowFirstColumn="0" w:lastRowLastColumn="0"/>
            <w:tcW w:w="1558" w:type="dxa"/>
            <w:shd w:val="clear" w:color="auto" w:fill="auto"/>
            <w:vAlign w:val="center"/>
            <w:hideMark/>
          </w:tcPr>
          <w:p w:rsidR="00781AB8" w:rsidRPr="00A314E3" w:rsidRDefault="00781AB8" w:rsidP="0094349A">
            <w:pPr>
              <w:jc w:val="center"/>
              <w:rPr>
                <w:b w:val="0"/>
                <w:bCs w:val="0"/>
                <w:color w:val="auto"/>
              </w:rPr>
            </w:pPr>
            <w:r w:rsidRPr="00A314E3">
              <w:rPr>
                <w:b w:val="0"/>
                <w:bCs w:val="0"/>
                <w:color w:val="auto"/>
              </w:rPr>
              <w:t>Lg-pile</w:t>
            </w:r>
          </w:p>
        </w:tc>
        <w:tc>
          <w:tcPr>
            <w:tcW w:w="1446" w:type="dxa"/>
            <w:shd w:val="clear" w:color="auto" w:fill="auto"/>
            <w:vAlign w:val="center"/>
          </w:tcPr>
          <w:p w:rsidR="00781AB8" w:rsidRPr="00A314E3" w:rsidRDefault="002A1ED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Spherical</w:t>
            </w:r>
          </w:p>
        </w:tc>
        <w:tc>
          <w:tcPr>
            <w:tcW w:w="1616" w:type="dxa"/>
            <w:shd w:val="clear" w:color="auto" w:fill="auto"/>
            <w:vAlign w:val="center"/>
          </w:tcPr>
          <w:p w:rsidR="00781AB8"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23</w:t>
            </w:r>
          </w:p>
        </w:tc>
        <w:tc>
          <w:tcPr>
            <w:tcW w:w="1545" w:type="dxa"/>
            <w:shd w:val="clear" w:color="auto" w:fill="auto"/>
            <w:vAlign w:val="center"/>
          </w:tcPr>
          <w:p w:rsidR="00781AB8"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16</w:t>
            </w:r>
          </w:p>
        </w:tc>
        <w:tc>
          <w:tcPr>
            <w:tcW w:w="1505" w:type="dxa"/>
            <w:shd w:val="clear" w:color="auto" w:fill="auto"/>
            <w:vAlign w:val="center"/>
          </w:tcPr>
          <w:p w:rsidR="00781AB8"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0.228</w:t>
            </w:r>
          </w:p>
        </w:tc>
        <w:tc>
          <w:tcPr>
            <w:tcW w:w="1906" w:type="dxa"/>
            <w:shd w:val="clear" w:color="auto" w:fill="auto"/>
            <w:vAlign w:val="center"/>
          </w:tcPr>
          <w:p w:rsidR="00781AB8"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1.21</w:t>
            </w:r>
          </w:p>
        </w:tc>
      </w:tr>
    </w:tbl>
    <w:p w:rsidR="00A314E3" w:rsidRDefault="00A314E3" w:rsidP="0094349A">
      <w:pPr>
        <w:pStyle w:val="Caption"/>
        <w:keepNext/>
        <w:jc w:val="center"/>
        <w:rPr>
          <w:i w:val="0"/>
          <w:lang w:val="en-US"/>
        </w:rPr>
      </w:pPr>
    </w:p>
    <w:p w:rsidR="00F84261" w:rsidRDefault="00F84261" w:rsidP="0094349A">
      <w:pPr>
        <w:pStyle w:val="Caption"/>
        <w:keepNext/>
        <w:jc w:val="center"/>
        <w:rPr>
          <w:i w:val="0"/>
          <w:lang w:val="en-US"/>
        </w:rPr>
      </w:pPr>
      <w:r>
        <w:rPr>
          <w:i w:val="0"/>
          <w:lang w:val="en-US"/>
        </w:rPr>
        <w:t xml:space="preserve">Table </w:t>
      </w:r>
      <w:r>
        <w:rPr>
          <w:i w:val="0"/>
        </w:rPr>
        <w:fldChar w:fldCharType="begin"/>
      </w:r>
      <w:r>
        <w:rPr>
          <w:i w:val="0"/>
          <w:lang w:val="en-US"/>
        </w:rPr>
        <w:instrText xml:space="preserve"> SEQ Tableau \* ARABIC </w:instrText>
      </w:r>
      <w:r>
        <w:rPr>
          <w:i w:val="0"/>
        </w:rPr>
        <w:fldChar w:fldCharType="separate"/>
      </w:r>
      <w:r>
        <w:rPr>
          <w:i w:val="0"/>
          <w:noProof/>
          <w:lang w:val="en-US"/>
        </w:rPr>
        <w:t>1</w:t>
      </w:r>
      <w:r>
        <w:rPr>
          <w:i w:val="0"/>
        </w:rPr>
        <w:fldChar w:fldCharType="end"/>
      </w:r>
      <w:r>
        <w:rPr>
          <w:i w:val="0"/>
          <w:lang w:val="en-GB"/>
        </w:rPr>
        <w:t>b</w:t>
      </w:r>
      <w:r>
        <w:rPr>
          <w:i w:val="0"/>
          <w:lang w:val="en-US"/>
        </w:rPr>
        <w:t xml:space="preserve">: comparison of variogram </w:t>
      </w:r>
      <w:r w:rsidR="001954CB">
        <w:rPr>
          <w:i w:val="0"/>
          <w:lang w:val="en-US"/>
        </w:rPr>
        <w:t xml:space="preserve">parameters of nugget component </w:t>
      </w:r>
      <w:r>
        <w:rPr>
          <w:i w:val="0"/>
          <w:lang w:val="en-US"/>
        </w:rPr>
        <w:t>in stockpiles and deposit blocks</w:t>
      </w:r>
    </w:p>
    <w:tbl>
      <w:tblPr>
        <w:tblStyle w:val="LightShading-Accent1"/>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712"/>
        <w:gridCol w:w="1721"/>
        <w:gridCol w:w="1696"/>
      </w:tblGrid>
      <w:tr w:rsidR="00F84261" w:rsidTr="00094564">
        <w:trPr>
          <w:cnfStyle w:val="100000000000" w:firstRow="1" w:lastRow="0" w:firstColumn="0" w:lastColumn="0" w:oddVBand="0" w:evenVBand="0" w:oddHBand="0"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1714" w:type="dxa"/>
            <w:tcBorders>
              <w:top w:val="none" w:sz="0" w:space="0" w:color="auto"/>
              <w:left w:val="none" w:sz="0" w:space="0" w:color="auto"/>
              <w:bottom w:val="none" w:sz="0" w:space="0" w:color="auto"/>
              <w:right w:val="none" w:sz="0" w:space="0" w:color="auto"/>
            </w:tcBorders>
            <w:shd w:val="clear" w:color="auto" w:fill="auto"/>
            <w:hideMark/>
          </w:tcPr>
          <w:p w:rsidR="00F84261" w:rsidRPr="0029495C" w:rsidRDefault="00F84261" w:rsidP="0094349A">
            <w:pPr>
              <w:jc w:val="center"/>
              <w:rPr>
                <w:b w:val="0"/>
                <w:bCs w:val="0"/>
                <w:color w:val="auto"/>
              </w:rPr>
            </w:pPr>
            <w:r w:rsidRPr="0029495C">
              <w:rPr>
                <w:b w:val="0"/>
                <w:bCs w:val="0"/>
                <w:color w:val="auto"/>
              </w:rPr>
              <w:t>hp</w:t>
            </w:r>
          </w:p>
        </w:tc>
        <w:tc>
          <w:tcPr>
            <w:tcW w:w="1712" w:type="dxa"/>
            <w:tcBorders>
              <w:top w:val="none" w:sz="0" w:space="0" w:color="auto"/>
              <w:left w:val="none" w:sz="0" w:space="0" w:color="auto"/>
              <w:bottom w:val="none" w:sz="0" w:space="0" w:color="auto"/>
              <w:right w:val="none" w:sz="0" w:space="0" w:color="auto"/>
            </w:tcBorders>
            <w:shd w:val="clear" w:color="auto" w:fill="auto"/>
            <w:hideMark/>
          </w:tcPr>
          <w:p w:rsidR="00F84261" w:rsidRPr="0029495C" w:rsidRDefault="00F84261"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Nugget fe(m)</w:t>
            </w:r>
          </w:p>
        </w:tc>
        <w:tc>
          <w:tcPr>
            <w:tcW w:w="1721" w:type="dxa"/>
            <w:tcBorders>
              <w:top w:val="none" w:sz="0" w:space="0" w:color="auto"/>
              <w:left w:val="none" w:sz="0" w:space="0" w:color="auto"/>
              <w:bottom w:val="none" w:sz="0" w:space="0" w:color="auto"/>
              <w:right w:val="none" w:sz="0" w:space="0" w:color="auto"/>
            </w:tcBorders>
            <w:shd w:val="clear" w:color="auto" w:fill="auto"/>
            <w:hideMark/>
          </w:tcPr>
          <w:p w:rsidR="00F84261" w:rsidRPr="0029495C" w:rsidRDefault="00F84261"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Nugget P</w:t>
            </w:r>
          </w:p>
        </w:tc>
        <w:tc>
          <w:tcPr>
            <w:tcW w:w="1696" w:type="dxa"/>
            <w:tcBorders>
              <w:top w:val="none" w:sz="0" w:space="0" w:color="auto"/>
              <w:left w:val="none" w:sz="0" w:space="0" w:color="auto"/>
              <w:bottom w:val="none" w:sz="0" w:space="0" w:color="auto"/>
              <w:right w:val="none" w:sz="0" w:space="0" w:color="auto"/>
            </w:tcBorders>
            <w:shd w:val="clear" w:color="auto" w:fill="auto"/>
            <w:hideMark/>
          </w:tcPr>
          <w:p w:rsidR="00F84261" w:rsidRPr="0029495C" w:rsidRDefault="00F84261" w:rsidP="0094349A">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29495C">
              <w:rPr>
                <w:b w:val="0"/>
                <w:bCs w:val="0"/>
                <w:color w:val="auto"/>
              </w:rPr>
              <w:t>NuggetFe/P</w:t>
            </w:r>
          </w:p>
        </w:tc>
      </w:tr>
      <w:tr w:rsidR="00F84261" w:rsidTr="00094564">
        <w:trPr>
          <w:cnfStyle w:val="000000100000" w:firstRow="0" w:lastRow="0" w:firstColumn="0" w:lastColumn="0" w:oddVBand="0" w:evenVBand="0" w:oddHBand="1" w:evenHBand="0" w:firstRowFirstColumn="0" w:firstRowLastColumn="0" w:lastRowFirstColumn="0" w:lastRowLastColumn="0"/>
          <w:trHeight w:val="338"/>
          <w:jc w:val="center"/>
        </w:trPr>
        <w:tc>
          <w:tcPr>
            <w:cnfStyle w:val="001000000000" w:firstRow="0" w:lastRow="0" w:firstColumn="1" w:lastColumn="0" w:oddVBand="0" w:evenVBand="0" w:oddHBand="0" w:evenHBand="0" w:firstRowFirstColumn="0" w:firstRowLastColumn="0" w:lastRowFirstColumn="0" w:lastRowLastColumn="0"/>
            <w:tcW w:w="1714" w:type="dxa"/>
            <w:tcBorders>
              <w:left w:val="none" w:sz="0" w:space="0" w:color="auto"/>
              <w:right w:val="none" w:sz="0" w:space="0" w:color="auto"/>
            </w:tcBorders>
            <w:shd w:val="clear" w:color="auto" w:fill="auto"/>
            <w:hideMark/>
          </w:tcPr>
          <w:p w:rsidR="00F84261" w:rsidRPr="0029495C" w:rsidRDefault="00F84261" w:rsidP="0094349A">
            <w:pPr>
              <w:jc w:val="center"/>
              <w:rPr>
                <w:b w:val="0"/>
                <w:bCs w:val="0"/>
                <w:color w:val="auto"/>
              </w:rPr>
            </w:pPr>
            <w:r w:rsidRPr="0029495C">
              <w:rPr>
                <w:b w:val="0"/>
                <w:bCs w:val="0"/>
                <w:color w:val="auto"/>
              </w:rPr>
              <w:t>Hp-blocks</w:t>
            </w:r>
          </w:p>
        </w:tc>
        <w:tc>
          <w:tcPr>
            <w:tcW w:w="1712" w:type="dxa"/>
            <w:tcBorders>
              <w:left w:val="none" w:sz="0" w:space="0" w:color="auto"/>
              <w:right w:val="none" w:sz="0" w:space="0" w:color="auto"/>
            </w:tcBorders>
            <w:shd w:val="clear" w:color="auto" w:fill="auto"/>
          </w:tcPr>
          <w:p w:rsidR="00F84261" w:rsidRPr="0029495C" w:rsidRDefault="008309B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1.5</w:t>
            </w:r>
          </w:p>
        </w:tc>
        <w:tc>
          <w:tcPr>
            <w:tcW w:w="1721" w:type="dxa"/>
            <w:tcBorders>
              <w:left w:val="none" w:sz="0" w:space="0" w:color="auto"/>
              <w:right w:val="none" w:sz="0" w:space="0" w:color="auto"/>
            </w:tcBorders>
            <w:shd w:val="clear" w:color="auto" w:fill="auto"/>
          </w:tcPr>
          <w:p w:rsidR="00F84261" w:rsidRPr="0029495C" w:rsidRDefault="008309BB"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0.15</w:t>
            </w:r>
          </w:p>
        </w:tc>
        <w:tc>
          <w:tcPr>
            <w:tcW w:w="1696" w:type="dxa"/>
            <w:tcBorders>
              <w:left w:val="none" w:sz="0" w:space="0" w:color="auto"/>
              <w:right w:val="none" w:sz="0" w:space="0" w:color="auto"/>
            </w:tcBorders>
            <w:shd w:val="clear" w:color="auto" w:fill="auto"/>
          </w:tcPr>
          <w:p w:rsidR="00F84261" w:rsidRPr="0029495C" w:rsidRDefault="00E50A0A"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29495C">
              <w:rPr>
                <w:color w:val="auto"/>
              </w:rPr>
              <w:t>0.12</w:t>
            </w:r>
          </w:p>
        </w:tc>
      </w:tr>
      <w:tr w:rsidR="00F84261" w:rsidTr="00094564">
        <w:trPr>
          <w:trHeight w:val="319"/>
          <w:jc w:val="center"/>
        </w:trPr>
        <w:tc>
          <w:tcPr>
            <w:cnfStyle w:val="001000000000" w:firstRow="0" w:lastRow="0" w:firstColumn="1" w:lastColumn="0" w:oddVBand="0" w:evenVBand="0" w:oddHBand="0" w:evenHBand="0" w:firstRowFirstColumn="0" w:firstRowLastColumn="0" w:lastRowFirstColumn="0" w:lastRowLastColumn="0"/>
            <w:tcW w:w="1714" w:type="dxa"/>
            <w:shd w:val="clear" w:color="auto" w:fill="auto"/>
            <w:hideMark/>
          </w:tcPr>
          <w:p w:rsidR="00F84261" w:rsidRPr="00A314E3" w:rsidRDefault="00F84261" w:rsidP="0094349A">
            <w:pPr>
              <w:jc w:val="center"/>
              <w:rPr>
                <w:b w:val="0"/>
                <w:bCs w:val="0"/>
                <w:color w:val="auto"/>
              </w:rPr>
            </w:pPr>
            <w:r w:rsidRPr="00A314E3">
              <w:rPr>
                <w:b w:val="0"/>
                <w:bCs w:val="0"/>
                <w:color w:val="auto"/>
              </w:rPr>
              <w:t>Hp-pile</w:t>
            </w:r>
          </w:p>
        </w:tc>
        <w:tc>
          <w:tcPr>
            <w:tcW w:w="1712" w:type="dxa"/>
            <w:shd w:val="clear" w:color="auto" w:fill="auto"/>
            <w:hideMark/>
          </w:tcPr>
          <w:p w:rsidR="00F84261" w:rsidRPr="00A314E3" w:rsidRDefault="001954C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1.5</w:t>
            </w:r>
          </w:p>
        </w:tc>
        <w:tc>
          <w:tcPr>
            <w:tcW w:w="1721" w:type="dxa"/>
            <w:shd w:val="clear" w:color="auto" w:fill="auto"/>
          </w:tcPr>
          <w:p w:rsidR="00F84261" w:rsidRPr="00A314E3" w:rsidRDefault="001954C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0.15</w:t>
            </w:r>
          </w:p>
        </w:tc>
        <w:tc>
          <w:tcPr>
            <w:tcW w:w="1696" w:type="dxa"/>
            <w:shd w:val="clear" w:color="auto" w:fill="auto"/>
          </w:tcPr>
          <w:p w:rsidR="00F84261" w:rsidRPr="00A314E3" w:rsidRDefault="001954CB"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0.05</w:t>
            </w:r>
          </w:p>
        </w:tc>
      </w:tr>
      <w:tr w:rsidR="00F84261" w:rsidTr="00094564">
        <w:trPr>
          <w:cnfStyle w:val="000000100000" w:firstRow="0" w:lastRow="0" w:firstColumn="0" w:lastColumn="0" w:oddVBand="0" w:evenVBand="0" w:oddHBand="1" w:evenHBand="0" w:firstRowFirstColumn="0" w:firstRowLastColumn="0" w:lastRowFirstColumn="0" w:lastRowLastColumn="0"/>
          <w:trHeight w:val="338"/>
          <w:jc w:val="center"/>
        </w:trPr>
        <w:tc>
          <w:tcPr>
            <w:cnfStyle w:val="001000000000" w:firstRow="0" w:lastRow="0" w:firstColumn="1" w:lastColumn="0" w:oddVBand="0" w:evenVBand="0" w:oddHBand="0" w:evenHBand="0" w:firstRowFirstColumn="0" w:firstRowLastColumn="0" w:lastRowFirstColumn="0" w:lastRowLastColumn="0"/>
            <w:tcW w:w="1714" w:type="dxa"/>
            <w:tcBorders>
              <w:left w:val="none" w:sz="0" w:space="0" w:color="auto"/>
              <w:right w:val="none" w:sz="0" w:space="0" w:color="auto"/>
            </w:tcBorders>
            <w:shd w:val="clear" w:color="auto" w:fill="auto"/>
            <w:hideMark/>
          </w:tcPr>
          <w:p w:rsidR="00F84261" w:rsidRPr="00A314E3" w:rsidRDefault="00F84261" w:rsidP="0094349A">
            <w:pPr>
              <w:jc w:val="center"/>
              <w:rPr>
                <w:b w:val="0"/>
                <w:bCs w:val="0"/>
                <w:color w:val="auto"/>
              </w:rPr>
            </w:pPr>
            <w:r w:rsidRPr="00A314E3">
              <w:rPr>
                <w:b w:val="0"/>
                <w:bCs w:val="0"/>
                <w:color w:val="auto"/>
              </w:rPr>
              <w:t>Lg-blocks</w:t>
            </w:r>
          </w:p>
        </w:tc>
        <w:tc>
          <w:tcPr>
            <w:tcW w:w="1712" w:type="dxa"/>
            <w:tcBorders>
              <w:left w:val="none" w:sz="0" w:space="0" w:color="auto"/>
              <w:right w:val="none" w:sz="0" w:space="0" w:color="auto"/>
            </w:tcBorders>
            <w:shd w:val="clear" w:color="auto" w:fill="auto"/>
          </w:tcPr>
          <w:p w:rsidR="00F84261"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3</w:t>
            </w:r>
          </w:p>
        </w:tc>
        <w:tc>
          <w:tcPr>
            <w:tcW w:w="1721" w:type="dxa"/>
            <w:tcBorders>
              <w:left w:val="none" w:sz="0" w:space="0" w:color="auto"/>
              <w:right w:val="none" w:sz="0" w:space="0" w:color="auto"/>
            </w:tcBorders>
            <w:shd w:val="clear" w:color="auto" w:fill="auto"/>
          </w:tcPr>
          <w:p w:rsidR="00F84261"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0.03</w:t>
            </w:r>
          </w:p>
        </w:tc>
        <w:tc>
          <w:tcPr>
            <w:tcW w:w="1696" w:type="dxa"/>
            <w:tcBorders>
              <w:left w:val="none" w:sz="0" w:space="0" w:color="auto"/>
              <w:right w:val="none" w:sz="0" w:space="0" w:color="auto"/>
            </w:tcBorders>
            <w:shd w:val="clear" w:color="auto" w:fill="auto"/>
          </w:tcPr>
          <w:p w:rsidR="00F84261" w:rsidRPr="00A314E3" w:rsidRDefault="002A1ED3" w:rsidP="0094349A">
            <w:pPr>
              <w:jc w:val="center"/>
              <w:cnfStyle w:val="000000100000" w:firstRow="0" w:lastRow="0" w:firstColumn="0" w:lastColumn="0" w:oddVBand="0" w:evenVBand="0" w:oddHBand="1" w:evenHBand="0" w:firstRowFirstColumn="0" w:firstRowLastColumn="0" w:lastRowFirstColumn="0" w:lastRowLastColumn="0"/>
              <w:rPr>
                <w:color w:val="auto"/>
              </w:rPr>
            </w:pPr>
            <w:r w:rsidRPr="00A314E3">
              <w:rPr>
                <w:color w:val="auto"/>
              </w:rPr>
              <w:t>0</w:t>
            </w:r>
          </w:p>
        </w:tc>
      </w:tr>
      <w:tr w:rsidR="00F84261" w:rsidTr="00094564">
        <w:trPr>
          <w:trHeight w:val="338"/>
          <w:jc w:val="center"/>
        </w:trPr>
        <w:tc>
          <w:tcPr>
            <w:cnfStyle w:val="001000000000" w:firstRow="0" w:lastRow="0" w:firstColumn="1" w:lastColumn="0" w:oddVBand="0" w:evenVBand="0" w:oddHBand="0" w:evenHBand="0" w:firstRowFirstColumn="0" w:firstRowLastColumn="0" w:lastRowFirstColumn="0" w:lastRowLastColumn="0"/>
            <w:tcW w:w="1714" w:type="dxa"/>
            <w:shd w:val="clear" w:color="auto" w:fill="auto"/>
            <w:hideMark/>
          </w:tcPr>
          <w:p w:rsidR="00F84261" w:rsidRPr="00A314E3" w:rsidRDefault="00F84261" w:rsidP="0094349A">
            <w:pPr>
              <w:jc w:val="center"/>
              <w:rPr>
                <w:b w:val="0"/>
                <w:bCs w:val="0"/>
                <w:color w:val="auto"/>
              </w:rPr>
            </w:pPr>
            <w:r w:rsidRPr="00A314E3">
              <w:rPr>
                <w:b w:val="0"/>
                <w:bCs w:val="0"/>
                <w:color w:val="auto"/>
              </w:rPr>
              <w:t>Lg-pile</w:t>
            </w:r>
          </w:p>
        </w:tc>
        <w:tc>
          <w:tcPr>
            <w:tcW w:w="1712" w:type="dxa"/>
            <w:shd w:val="clear" w:color="auto" w:fill="auto"/>
          </w:tcPr>
          <w:p w:rsidR="00F84261"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9</w:t>
            </w:r>
          </w:p>
        </w:tc>
        <w:tc>
          <w:tcPr>
            <w:tcW w:w="1721" w:type="dxa"/>
            <w:shd w:val="clear" w:color="auto" w:fill="auto"/>
          </w:tcPr>
          <w:p w:rsidR="00F84261"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0.037</w:t>
            </w:r>
          </w:p>
        </w:tc>
        <w:tc>
          <w:tcPr>
            <w:tcW w:w="1696" w:type="dxa"/>
            <w:shd w:val="clear" w:color="auto" w:fill="auto"/>
          </w:tcPr>
          <w:p w:rsidR="00F84261" w:rsidRPr="00A314E3" w:rsidRDefault="00A314E3" w:rsidP="0094349A">
            <w:pPr>
              <w:jc w:val="center"/>
              <w:cnfStyle w:val="000000000000" w:firstRow="0" w:lastRow="0" w:firstColumn="0" w:lastColumn="0" w:oddVBand="0" w:evenVBand="0" w:oddHBand="0" w:evenHBand="0" w:firstRowFirstColumn="0" w:firstRowLastColumn="0" w:lastRowFirstColumn="0" w:lastRowLastColumn="0"/>
              <w:rPr>
                <w:color w:val="auto"/>
              </w:rPr>
            </w:pPr>
            <w:r w:rsidRPr="00A314E3">
              <w:rPr>
                <w:color w:val="auto"/>
              </w:rPr>
              <w:t>0.3</w:t>
            </w:r>
          </w:p>
        </w:tc>
      </w:tr>
    </w:tbl>
    <w:p w:rsidR="00F84261" w:rsidRDefault="00F84261" w:rsidP="005E41B2">
      <w:pPr>
        <w:jc w:val="both"/>
        <w:rPr>
          <w:lang w:val="en-GB"/>
        </w:rPr>
      </w:pPr>
    </w:p>
    <w:p w:rsidR="00F84261" w:rsidRDefault="00F84261" w:rsidP="005E41B2">
      <w:pPr>
        <w:jc w:val="both"/>
        <w:rPr>
          <w:rFonts w:eastAsia="文泉驛正黑"/>
          <w:lang w:val="en-GB" w:eastAsia="zh-CN" w:bidi="hi-IN"/>
        </w:rPr>
      </w:pPr>
      <w:r>
        <w:rPr>
          <w:rFonts w:eastAsia="文泉驛正黑"/>
          <w:lang w:val="en-GB" w:eastAsia="zh-CN" w:bidi="hi-IN"/>
        </w:rPr>
        <w:t>In addition</w:t>
      </w:r>
      <w:r>
        <w:rPr>
          <w:lang w:val="en-GB"/>
        </w:rPr>
        <w:t xml:space="preserve">, </w:t>
      </w:r>
      <w:r>
        <w:rPr>
          <w:rFonts w:eastAsia="文泉驛正黑"/>
          <w:lang w:val="en-GB" w:eastAsia="zh-CN" w:bidi="hi-IN"/>
        </w:rPr>
        <w:t>variogram mode</w:t>
      </w:r>
      <w:r>
        <w:rPr>
          <w:lang w:val="en-GB"/>
        </w:rPr>
        <w:t>l</w:t>
      </w:r>
      <w:r>
        <w:rPr>
          <w:rFonts w:eastAsia="文泉驛正黑"/>
          <w:lang w:val="en-GB" w:eastAsia="zh-CN" w:bidi="hi-IN"/>
        </w:rPr>
        <w:t>ling of the pile data</w:t>
      </w:r>
      <w:r>
        <w:rPr>
          <w:lang w:val="en-GB"/>
        </w:rPr>
        <w:t xml:space="preserve"> </w:t>
      </w:r>
      <w:r>
        <w:rPr>
          <w:rFonts w:eastAsia="文泉驛正黑"/>
          <w:lang w:val="en-GB" w:eastAsia="zh-CN" w:bidi="hi-IN"/>
        </w:rPr>
        <w:t>compared with the geostatistical</w:t>
      </w:r>
      <w:r>
        <w:rPr>
          <w:lang w:val="en-GB"/>
        </w:rPr>
        <w:t xml:space="preserve"> </w:t>
      </w:r>
      <w:r>
        <w:rPr>
          <w:rFonts w:eastAsia="文泉驛正黑"/>
          <w:lang w:val="en-GB" w:eastAsia="zh-CN" w:bidi="hi-IN"/>
        </w:rPr>
        <w:t xml:space="preserve">parameters of the main deposit confirms that by simulating the pilling sequences exactly with the deposit data which were transported to the specific location in piles, it is easy to predict the variable characterization and also to estimate the spatial variability of piles without any extra sampling. </w:t>
      </w:r>
    </w:p>
    <w:p w:rsidR="00F84261" w:rsidRDefault="000A4C3F" w:rsidP="00486742">
      <w:pPr>
        <w:jc w:val="center"/>
        <w:rPr>
          <w:rFonts w:eastAsia="文泉驛正黑"/>
          <w:b/>
          <w:bCs/>
          <w:lang w:val="en-GB" w:eastAsia="zh-CN" w:bidi="hi-IN"/>
        </w:rPr>
      </w:pPr>
      <w:r>
        <w:rPr>
          <w:noProof/>
          <w:lang w:val="en-US" w:eastAsia="en-US"/>
        </w:rPr>
        <mc:AlternateContent>
          <mc:Choice Requires="wpg">
            <w:drawing>
              <wp:anchor distT="0" distB="0" distL="114300" distR="114300" simplePos="0" relativeHeight="251665408" behindDoc="0" locked="0" layoutInCell="1" allowOverlap="1" wp14:anchorId="796A7EEE" wp14:editId="05946B46">
                <wp:simplePos x="0" y="0"/>
                <wp:positionH relativeFrom="column">
                  <wp:posOffset>3130906</wp:posOffset>
                </wp:positionH>
                <wp:positionV relativeFrom="paragraph">
                  <wp:posOffset>232969</wp:posOffset>
                </wp:positionV>
                <wp:extent cx="1506830" cy="295961"/>
                <wp:effectExtent l="0" t="0" r="17780" b="8890"/>
                <wp:wrapNone/>
                <wp:docPr id="18" name="Group 18"/>
                <wp:cNvGraphicFramePr/>
                <a:graphic xmlns:a="http://schemas.openxmlformats.org/drawingml/2006/main">
                  <a:graphicData uri="http://schemas.microsoft.com/office/word/2010/wordprocessingGroup">
                    <wpg:wgp>
                      <wpg:cNvGrpSpPr/>
                      <wpg:grpSpPr>
                        <a:xfrm>
                          <a:off x="0" y="0"/>
                          <a:ext cx="1506830" cy="295961"/>
                          <a:chOff x="0" y="0"/>
                          <a:chExt cx="1506830" cy="295961"/>
                        </a:xfrm>
                      </wpg:grpSpPr>
                      <wps:wsp>
                        <wps:cNvPr id="14" name="Text Box 14"/>
                        <wps:cNvSpPr txBox="1">
                          <a:spLocks noChangeArrowheads="1"/>
                        </wps:cNvSpPr>
                        <wps:spPr bwMode="auto">
                          <a:xfrm>
                            <a:off x="0" y="29261"/>
                            <a:ext cx="607060" cy="266700"/>
                          </a:xfrm>
                          <a:prstGeom prst="rect">
                            <a:avLst/>
                          </a:prstGeom>
                          <a:solidFill>
                            <a:srgbClr val="FFFFFF"/>
                          </a:solidFill>
                          <a:ln w="9525">
                            <a:noFill/>
                            <a:miter lim="800000"/>
                            <a:headEnd/>
                            <a:tailEnd/>
                          </a:ln>
                        </wps:spPr>
                        <wps:txbx>
                          <w:txbxContent>
                            <w:p w:rsidR="0002730E" w:rsidRDefault="0002730E" w:rsidP="0002730E">
                              <w:pPr>
                                <w:rPr>
                                  <w:sz w:val="16"/>
                                  <w:szCs w:val="16"/>
                                </w:rPr>
                              </w:pPr>
                              <w:r>
                                <w:rPr>
                                  <w:sz w:val="16"/>
                                  <w:szCs w:val="16"/>
                                </w:rPr>
                                <w:t>LG</w:t>
                              </w:r>
                              <w:r>
                                <w:rPr>
                                  <w:sz w:val="16"/>
                                  <w:szCs w:val="16"/>
                                </w:rPr>
                                <w:t xml:space="preserve"> Pile</w:t>
                              </w:r>
                            </w:p>
                          </w:txbxContent>
                        </wps:txbx>
                        <wps:bodyPr rot="0" vert="horz" wrap="square" lIns="91440" tIns="45720" rIns="91440" bIns="45720" anchor="t" anchorCtr="0">
                          <a:noAutofit/>
                        </wps:bodyPr>
                      </wps:wsp>
                      <wps:wsp>
                        <wps:cNvPr id="16" name="Text Box 16"/>
                        <wps:cNvSpPr txBox="1">
                          <a:spLocks noChangeArrowheads="1"/>
                        </wps:cNvSpPr>
                        <wps:spPr bwMode="auto">
                          <a:xfrm>
                            <a:off x="1207008" y="0"/>
                            <a:ext cx="299822" cy="245390"/>
                          </a:xfrm>
                          <a:prstGeom prst="rect">
                            <a:avLst/>
                          </a:prstGeom>
                          <a:solidFill>
                            <a:srgbClr val="FFFFFF"/>
                          </a:solidFill>
                          <a:ln w="3175">
                            <a:solidFill>
                              <a:schemeClr val="tx1"/>
                            </a:solidFill>
                            <a:miter lim="800000"/>
                            <a:headEnd/>
                            <a:tailEnd/>
                          </a:ln>
                        </wps:spPr>
                        <wps:txbx>
                          <w:txbxContent>
                            <w:p w:rsidR="0002730E" w:rsidRPr="0002730E" w:rsidRDefault="00F67431" w:rsidP="0002730E">
                              <w:pPr>
                                <w:rPr>
                                  <w:sz w:val="16"/>
                                  <w:szCs w:val="16"/>
                                  <w:lang w:val="en-US"/>
                                </w:rPr>
                              </w:pPr>
                              <w:r>
                                <w:rPr>
                                  <w:sz w:val="16"/>
                                  <w:szCs w:val="16"/>
                                  <w:lang w:val="en-US"/>
                                </w:rPr>
                                <w:t>F</w:t>
                              </w:r>
                              <w:r w:rsidR="0002730E">
                                <w:rPr>
                                  <w:sz w:val="16"/>
                                  <w:szCs w:val="16"/>
                                  <w:lang w:val="en-US"/>
                                </w:rPr>
                                <w:t>e</w:t>
                              </w:r>
                            </w:p>
                          </w:txbxContent>
                        </wps:txbx>
                        <wps:bodyPr rot="0" vert="horz" wrap="square" lIns="91440" tIns="45720" rIns="91440" bIns="45720" anchor="t" anchorCtr="0">
                          <a:noAutofit/>
                        </wps:bodyPr>
                      </wps:wsp>
                    </wpg:wgp>
                  </a:graphicData>
                </a:graphic>
              </wp:anchor>
            </w:drawing>
          </mc:Choice>
          <mc:Fallback>
            <w:pict>
              <v:group id="Group 18" o:spid="_x0000_s1026" style="position:absolute;left:0;text-align:left;margin-left:246.55pt;margin-top:18.35pt;width:118.65pt;height:23.3pt;z-index:251665408" coordsize="15068,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">
                <v:shapetype id="_x0000_t202" coordsize="21600,21600" o:spt="202" path="m,l,21600r21600,l21600,xe">
                  <v:stroke joinstyle="miter"/>
                  <v:path gradientshapeok="t" o:connecttype="rect"/>
                </v:shapetype>
                <v:shape id="Text Box 14" o:spid="_x0000_s1027" type="#_x0000_t202" style="position:absolute;top:292;width:607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02730E" w:rsidRDefault="0002730E" w:rsidP="0002730E">
                        <w:pPr>
                          <w:rPr>
                            <w:sz w:val="16"/>
                            <w:szCs w:val="16"/>
                          </w:rPr>
                        </w:pPr>
                        <w:r>
                          <w:rPr>
                            <w:sz w:val="16"/>
                            <w:szCs w:val="16"/>
                          </w:rPr>
                          <w:t>LG</w:t>
                        </w:r>
                        <w:r>
                          <w:rPr>
                            <w:sz w:val="16"/>
                            <w:szCs w:val="16"/>
                          </w:rPr>
                          <w:t xml:space="preserve"> Pile</w:t>
                        </w:r>
                      </w:p>
                    </w:txbxContent>
                  </v:textbox>
                </v:shape>
                <v:shape id="Text Box 16" o:spid="_x0000_s1028" type="#_x0000_t202" style="position:absolute;left:12070;width:2998;height:2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kWMIA&#10;AADbAAAADwAAAGRycy9kb3ducmV2LnhtbERPS2vCQBC+F/wPywi91Y2VSImuIkKwl6JNRa9DdkyC&#10;2dk0u83j33cLBW/z8T1nvR1MLTpqXWVZwXwWgSDOra64UHD+Sl/eQDiPrLG2TApGcrDdTJ7WmGjb&#10;8yd1mS9ECGGXoILS+yaR0uUlGXQz2xAH7mZbgz7AtpC6xT6Em1q+RtFSGqw4NJTY0L6k/J79GAWL&#10;y+V4/Dik1TX+9ouTOY3pIc6Uep4OuxUIT4N/iP/d7zrMX8LfL+E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9KRYwgAAANsAAAAPAAAAAAAAAAAAAAAAAJgCAABkcnMvZG93&#10;bnJldi54bWxQSwUGAAAAAAQABAD1AAAAhwMAAAAA&#10;" strokecolor="black [3213]" strokeweight=".25pt">
                  <v:textbox>
                    <w:txbxContent>
                      <w:p w:rsidR="0002730E" w:rsidRPr="0002730E" w:rsidRDefault="00F67431" w:rsidP="0002730E">
                        <w:pPr>
                          <w:rPr>
                            <w:sz w:val="16"/>
                            <w:szCs w:val="16"/>
                            <w:lang w:val="en-US"/>
                          </w:rPr>
                        </w:pPr>
                        <w:r>
                          <w:rPr>
                            <w:sz w:val="16"/>
                            <w:szCs w:val="16"/>
                            <w:lang w:val="en-US"/>
                          </w:rPr>
                          <w:t>F</w:t>
                        </w:r>
                        <w:r w:rsidR="0002730E">
                          <w:rPr>
                            <w:sz w:val="16"/>
                            <w:szCs w:val="16"/>
                            <w:lang w:val="en-US"/>
                          </w:rPr>
                          <w:t>e</w:t>
                        </w:r>
                      </w:p>
                    </w:txbxContent>
                  </v:textbox>
                </v:shape>
              </v:group>
            </w:pict>
          </mc:Fallback>
        </mc:AlternateContent>
      </w:r>
      <w:r>
        <w:rPr>
          <w:noProof/>
          <w:lang w:val="en-US" w:eastAsia="en-US"/>
        </w:rPr>
        <mc:AlternateContent>
          <mc:Choice Requires="wpg">
            <w:drawing>
              <wp:anchor distT="0" distB="0" distL="114300" distR="114300" simplePos="0" relativeHeight="251663360" behindDoc="0" locked="0" layoutInCell="1" allowOverlap="1" wp14:anchorId="29E404D1" wp14:editId="2B999C18">
                <wp:simplePos x="0" y="0"/>
                <wp:positionH relativeFrom="column">
                  <wp:posOffset>387706</wp:posOffset>
                </wp:positionH>
                <wp:positionV relativeFrom="paragraph">
                  <wp:posOffset>232969</wp:posOffset>
                </wp:positionV>
                <wp:extent cx="1572666" cy="267335"/>
                <wp:effectExtent l="0" t="0" r="27940" b="18415"/>
                <wp:wrapNone/>
                <wp:docPr id="17" name="Group 17"/>
                <wp:cNvGraphicFramePr/>
                <a:graphic xmlns:a="http://schemas.openxmlformats.org/drawingml/2006/main">
                  <a:graphicData uri="http://schemas.microsoft.com/office/word/2010/wordprocessingGroup">
                    <wpg:wgp>
                      <wpg:cNvGrpSpPr/>
                      <wpg:grpSpPr>
                        <a:xfrm>
                          <a:off x="0" y="0"/>
                          <a:ext cx="1572666" cy="267335"/>
                          <a:chOff x="0" y="0"/>
                          <a:chExt cx="1572666" cy="267335"/>
                        </a:xfrm>
                      </wpg:grpSpPr>
                      <wps:wsp>
                        <wps:cNvPr id="217" name="Text Box 217"/>
                        <wps:cNvSpPr txBox="1">
                          <a:spLocks noChangeArrowheads="1"/>
                        </wps:cNvSpPr>
                        <wps:spPr bwMode="auto">
                          <a:xfrm>
                            <a:off x="0" y="0"/>
                            <a:ext cx="506095" cy="266700"/>
                          </a:xfrm>
                          <a:prstGeom prst="rect">
                            <a:avLst/>
                          </a:prstGeom>
                          <a:solidFill>
                            <a:srgbClr val="FFFFFF"/>
                          </a:solidFill>
                          <a:ln w="9525">
                            <a:noFill/>
                            <a:miter lim="800000"/>
                            <a:headEnd/>
                            <a:tailEnd/>
                          </a:ln>
                        </wps:spPr>
                        <wps:txbx>
                          <w:txbxContent>
                            <w:p w:rsidR="00F84261" w:rsidRDefault="00F84261" w:rsidP="00F84261">
                              <w:pPr>
                                <w:rPr>
                                  <w:sz w:val="16"/>
                                  <w:szCs w:val="16"/>
                                </w:rPr>
                              </w:pPr>
                              <w:r>
                                <w:rPr>
                                  <w:sz w:val="16"/>
                                  <w:szCs w:val="16"/>
                                </w:rPr>
                                <w:t>HP Pile</w:t>
                              </w:r>
                            </w:p>
                          </w:txbxContent>
                        </wps:txbx>
                        <wps:bodyPr rot="0" vert="horz" wrap="square" lIns="91440" tIns="45720" rIns="91440" bIns="45720" anchor="t" anchorCtr="0">
                          <a:noAutofit/>
                        </wps:bodyPr>
                      </wps:wsp>
                      <wps:wsp>
                        <wps:cNvPr id="15" name="Text Box 15"/>
                        <wps:cNvSpPr txBox="1">
                          <a:spLocks noChangeArrowheads="1"/>
                        </wps:cNvSpPr>
                        <wps:spPr bwMode="auto">
                          <a:xfrm>
                            <a:off x="1272844" y="21945"/>
                            <a:ext cx="299822" cy="245390"/>
                          </a:xfrm>
                          <a:prstGeom prst="rect">
                            <a:avLst/>
                          </a:prstGeom>
                          <a:solidFill>
                            <a:srgbClr val="FFFFFF"/>
                          </a:solidFill>
                          <a:ln w="3175">
                            <a:solidFill>
                              <a:schemeClr val="tx1"/>
                            </a:solidFill>
                            <a:miter lim="800000"/>
                            <a:headEnd/>
                            <a:tailEnd/>
                          </a:ln>
                        </wps:spPr>
                        <wps:txbx>
                          <w:txbxContent>
                            <w:p w:rsidR="0002730E" w:rsidRPr="0002730E" w:rsidRDefault="00F67431" w:rsidP="0002730E">
                              <w:pPr>
                                <w:rPr>
                                  <w:sz w:val="16"/>
                                  <w:szCs w:val="16"/>
                                  <w:lang w:val="en-US"/>
                                </w:rPr>
                              </w:pPr>
                              <w:r>
                                <w:rPr>
                                  <w:sz w:val="16"/>
                                  <w:szCs w:val="16"/>
                                  <w:lang w:val="en-US"/>
                                </w:rPr>
                                <w:t>F</w:t>
                              </w:r>
                              <w:r w:rsidR="0002730E">
                                <w:rPr>
                                  <w:sz w:val="16"/>
                                  <w:szCs w:val="16"/>
                                  <w:lang w:val="en-US"/>
                                </w:rPr>
                                <w:t>e</w:t>
                              </w:r>
                            </w:p>
                          </w:txbxContent>
                        </wps:txbx>
                        <wps:bodyPr rot="0" vert="horz" wrap="square" lIns="91440" tIns="45720" rIns="91440" bIns="45720" anchor="t" anchorCtr="0">
                          <a:noAutofit/>
                        </wps:bodyPr>
                      </wps:wsp>
                    </wpg:wgp>
                  </a:graphicData>
                </a:graphic>
              </wp:anchor>
            </w:drawing>
          </mc:Choice>
          <mc:Fallback>
            <w:pict>
              <v:group id="Group 17" o:spid="_x0000_s1029" style="position:absolute;left:0;text-align:left;margin-left:30.55pt;margin-top:18.35pt;width:123.85pt;height:21.05pt;z-index:251663360" coordsize="15726,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">
                <v:shape id="Text Box 217" o:spid="_x0000_s1030" type="#_x0000_t202" style="position:absolute;width:506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F84261" w:rsidRDefault="00F84261" w:rsidP="00F84261">
                        <w:pPr>
                          <w:rPr>
                            <w:sz w:val="16"/>
                            <w:szCs w:val="16"/>
                          </w:rPr>
                        </w:pPr>
                        <w:r>
                          <w:rPr>
                            <w:sz w:val="16"/>
                            <w:szCs w:val="16"/>
                          </w:rPr>
                          <w:t>HP Pile</w:t>
                        </w:r>
                      </w:p>
                    </w:txbxContent>
                  </v:textbox>
                </v:shape>
                <v:shape id="Text Box 15" o:spid="_x0000_s1031" type="#_x0000_t202" style="position:absolute;left:12728;top:219;width:2998;height:2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6L8EA&#10;AADbAAAADwAAAGRycy9kb3ducmV2LnhtbERPTYvCMBC9L/gfwgje1tSVilSjiFD0sqhV9Do0Y1ts&#10;JrXJav33m4UFb/N4nzNfdqYWD2pdZVnBaBiBIM6trrhQcDqmn1MQziNrrC2Tghc5WC56H3NMtH3y&#10;gR6ZL0QIYZeggtL7JpHS5SUZdEPbEAfualuDPsC2kLrFZwg3tfyKook0WHFoKLGhdUn5LfsxCsbn&#10;8273vUmrS3z3473Zv9JNnCk16HerGQhPnX+L/91bHebH8PdLOEA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mOi/BAAAA2wAAAA8AAAAAAAAAAAAAAAAAmAIAAGRycy9kb3du&#10;cmV2LnhtbFBLBQYAAAAABAAEAPUAAACGAwAAAAA=&#10;" strokecolor="black [3213]" strokeweight=".25pt">
                  <v:textbox>
                    <w:txbxContent>
                      <w:p w:rsidR="0002730E" w:rsidRPr="0002730E" w:rsidRDefault="00F67431" w:rsidP="0002730E">
                        <w:pPr>
                          <w:rPr>
                            <w:sz w:val="16"/>
                            <w:szCs w:val="16"/>
                            <w:lang w:val="en-US"/>
                          </w:rPr>
                        </w:pPr>
                        <w:r>
                          <w:rPr>
                            <w:sz w:val="16"/>
                            <w:szCs w:val="16"/>
                            <w:lang w:val="en-US"/>
                          </w:rPr>
                          <w:t>F</w:t>
                        </w:r>
                        <w:r w:rsidR="0002730E">
                          <w:rPr>
                            <w:sz w:val="16"/>
                            <w:szCs w:val="16"/>
                            <w:lang w:val="en-US"/>
                          </w:rPr>
                          <w:t>e</w:t>
                        </w:r>
                      </w:p>
                    </w:txbxContent>
                  </v:textbox>
                </v:shape>
              </v:group>
            </w:pict>
          </mc:Fallback>
        </mc:AlternateContent>
      </w:r>
      <w:r w:rsidR="00F84261">
        <w:rPr>
          <w:noProof/>
          <w:lang w:val="en-US" w:eastAsia="en-US"/>
        </w:rPr>
        <w:drawing>
          <wp:inline distT="0" distB="0" distL="0" distR="0" wp14:anchorId="3F061A36" wp14:editId="68286D1F">
            <wp:extent cx="2640965" cy="1997075"/>
            <wp:effectExtent l="0" t="0" r="698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40965" cy="1997075"/>
                    </a:xfrm>
                    <a:prstGeom prst="rect">
                      <a:avLst/>
                    </a:prstGeom>
                    <a:noFill/>
                    <a:ln>
                      <a:noFill/>
                    </a:ln>
                  </pic:spPr>
                </pic:pic>
              </a:graphicData>
            </a:graphic>
          </wp:inline>
        </w:drawing>
      </w:r>
      <w:r w:rsidR="00F84261">
        <w:rPr>
          <w:noProof/>
          <w:lang w:val="en-US" w:eastAsia="en-US"/>
        </w:rPr>
        <w:drawing>
          <wp:inline distT="0" distB="0" distL="0" distR="0" wp14:anchorId="71EF207D" wp14:editId="7DBE60A1">
            <wp:extent cx="2626360" cy="207772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26360" cy="2077720"/>
                    </a:xfrm>
                    <a:prstGeom prst="rect">
                      <a:avLst/>
                    </a:prstGeom>
                    <a:noFill/>
                    <a:ln>
                      <a:noFill/>
                    </a:ln>
                  </pic:spPr>
                </pic:pic>
              </a:graphicData>
            </a:graphic>
          </wp:inline>
        </w:drawing>
      </w:r>
    </w:p>
    <w:p w:rsidR="00F84261" w:rsidRDefault="00F84261" w:rsidP="00486742">
      <w:pPr>
        <w:jc w:val="center"/>
        <w:rPr>
          <w:rFonts w:ascii="Nimbus Roman No9 L" w:eastAsia="Times New Roman" w:hAnsi="Nimbus Roman No9 L"/>
          <w:iCs/>
          <w:color w:val="000000"/>
          <w:lang w:val="en-GB"/>
        </w:rPr>
      </w:pPr>
      <w:proofErr w:type="gramStart"/>
      <w:r>
        <w:rPr>
          <w:rFonts w:ascii="Nimbus Roman No9 L" w:eastAsia="Times New Roman" w:hAnsi="Nimbus Roman No9 L" w:cs="Lohit Devanagari"/>
          <w:iCs/>
          <w:color w:val="000000"/>
          <w:lang w:val="en-GB" w:eastAsia="zh-CN"/>
        </w:rPr>
        <w:t xml:space="preserve">Figure </w:t>
      </w:r>
      <w:r>
        <w:rPr>
          <w:rFonts w:ascii="Nimbus Roman No9 L" w:eastAsia="Times New Roman" w:hAnsi="Nimbus Roman No9 L"/>
          <w:iCs/>
          <w:color w:val="000000"/>
          <w:lang w:val="en-GB"/>
        </w:rPr>
        <w:t>7</w:t>
      </w:r>
      <w:r>
        <w:rPr>
          <w:rFonts w:ascii="Nimbus Roman No9 L" w:eastAsia="Times New Roman" w:hAnsi="Nimbus Roman No9 L" w:cs="Lohit Devanagari"/>
          <w:iCs/>
          <w:color w:val="000000"/>
          <w:lang w:val="en-GB" w:eastAsia="zh-CN"/>
        </w:rPr>
        <w:t>.</w:t>
      </w:r>
      <w:proofErr w:type="gramEnd"/>
      <w:r>
        <w:rPr>
          <w:rFonts w:ascii="Nimbus Roman No9 L" w:eastAsia="Times New Roman" w:hAnsi="Nimbus Roman No9 L" w:cs="Lohit Devanagari"/>
          <w:iCs/>
          <w:color w:val="000000"/>
          <w:lang w:val="en-GB" w:eastAsia="zh-CN"/>
        </w:rPr>
        <w:t xml:space="preserve"> Map of </w:t>
      </w:r>
      <w:proofErr w:type="gramStart"/>
      <w:r>
        <w:rPr>
          <w:rFonts w:ascii="Nimbus Roman No9 L" w:eastAsia="Times New Roman" w:hAnsi="Nimbus Roman No9 L" w:cs="Lohit Devanagari"/>
          <w:iCs/>
          <w:color w:val="000000"/>
          <w:lang w:val="en-GB" w:eastAsia="zh-CN"/>
        </w:rPr>
        <w:t>Fe(</w:t>
      </w:r>
      <w:proofErr w:type="gramEnd"/>
      <w:r>
        <w:rPr>
          <w:rFonts w:ascii="Nimbus Roman No9 L" w:eastAsia="Times New Roman" w:hAnsi="Nimbus Roman No9 L" w:cs="Lohit Devanagari"/>
          <w:iCs/>
          <w:color w:val="000000"/>
          <w:lang w:val="en-GB" w:eastAsia="zh-CN"/>
        </w:rPr>
        <w:t>%) variability in HP (left) and LG (right) stockpile obtained by simulation</w:t>
      </w:r>
    </w:p>
    <w:p w:rsidR="00F84261" w:rsidRDefault="00F84261" w:rsidP="005E41B2">
      <w:pPr>
        <w:jc w:val="both"/>
        <w:rPr>
          <w:lang w:val="en-GB"/>
        </w:rPr>
      </w:pPr>
      <w:r>
        <w:rPr>
          <w:rFonts w:eastAsia="文泉驛正黑"/>
          <w:lang w:val="en-GB" w:eastAsia="zh-CN" w:bidi="hi-IN"/>
        </w:rPr>
        <w:lastRenderedPageBreak/>
        <w:t>This simulating methodology is simple, can be implemented in a short “macro” of excel, and may help</w:t>
      </w:r>
      <w:r>
        <w:rPr>
          <w:lang w:val="en-GB"/>
        </w:rPr>
        <w:t xml:space="preserve"> especially</w:t>
      </w:r>
      <w:r>
        <w:rPr>
          <w:rFonts w:eastAsia="文泉驛正黑"/>
          <w:lang w:val="en-GB" w:eastAsia="zh-CN" w:bidi="hi-IN"/>
        </w:rPr>
        <w:t xml:space="preserve"> when the stockpile sampling is not an appropriate choice</w:t>
      </w:r>
      <w:r>
        <w:rPr>
          <w:lang w:val="en-GB"/>
        </w:rPr>
        <w:t>.</w:t>
      </w:r>
    </w:p>
    <w:p w:rsidR="00F84261" w:rsidRDefault="00F84261" w:rsidP="005E41B2">
      <w:pPr>
        <w:jc w:val="both"/>
        <w:rPr>
          <w:lang w:val="en-GB"/>
        </w:rPr>
      </w:pPr>
    </w:p>
    <w:p w:rsidR="00F84261" w:rsidRDefault="00F84261" w:rsidP="005E41B2">
      <w:pPr>
        <w:jc w:val="both"/>
        <w:rPr>
          <w:lang w:val="en-GB"/>
        </w:rPr>
      </w:pPr>
      <w:r>
        <w:rPr>
          <w:b/>
          <w:sz w:val="28"/>
          <w:szCs w:val="28"/>
          <w:lang w:val="en-GB"/>
        </w:rPr>
        <w:t>Acknowledgement</w:t>
      </w:r>
      <w:r>
        <w:rPr>
          <w:lang w:val="en-GB"/>
        </w:rPr>
        <w:t xml:space="preserve"> </w:t>
      </w:r>
    </w:p>
    <w:p w:rsidR="00F84261" w:rsidRDefault="00F84261" w:rsidP="005E41B2">
      <w:pPr>
        <w:jc w:val="both"/>
        <w:rPr>
          <w:rFonts w:eastAsia="Times New Roman"/>
          <w:szCs w:val="20"/>
          <w:lang w:val="en-GB" w:eastAsia="zh-CN"/>
        </w:rPr>
      </w:pPr>
      <w:r>
        <w:rPr>
          <w:rFonts w:eastAsia="Times New Roman"/>
          <w:szCs w:val="20"/>
          <w:lang w:val="en-GB" w:eastAsia="zh-CN"/>
        </w:rPr>
        <w:t>The authors appreciate the insights and help provided by Iran Central Iron Ore Company (ICIOC). Thanks are also to Professor Javad Gholamnejad the manager of stockpiles project for kindly providing the data.</w:t>
      </w:r>
    </w:p>
    <w:p w:rsidR="001954CB" w:rsidRDefault="001954CB" w:rsidP="005E41B2">
      <w:pPr>
        <w:jc w:val="both"/>
        <w:rPr>
          <w:rFonts w:eastAsia="Times New Roman"/>
          <w:szCs w:val="20"/>
          <w:lang w:val="en-GB" w:eastAsia="zh-CN"/>
        </w:rPr>
      </w:pPr>
      <w:bookmarkStart w:id="1" w:name="_GoBack"/>
      <w:bookmarkEnd w:id="1"/>
    </w:p>
    <w:p w:rsidR="00F84261" w:rsidRDefault="00F84261" w:rsidP="005E41B2">
      <w:pPr>
        <w:jc w:val="both"/>
        <w:rPr>
          <w:b/>
          <w:sz w:val="28"/>
          <w:szCs w:val="28"/>
          <w:lang w:val="en-GB"/>
        </w:rPr>
      </w:pPr>
      <w:r>
        <w:rPr>
          <w:b/>
          <w:sz w:val="28"/>
          <w:szCs w:val="28"/>
          <w:lang w:val="en-GB"/>
        </w:rPr>
        <w:t>Keywords</w:t>
      </w:r>
    </w:p>
    <w:p w:rsidR="00F84261" w:rsidRDefault="00F84261" w:rsidP="005E41B2">
      <w:pPr>
        <w:jc w:val="both"/>
        <w:rPr>
          <w:lang w:val="en-GB"/>
        </w:rPr>
      </w:pPr>
      <w:r>
        <w:rPr>
          <w:lang w:val="en-GB"/>
        </w:rPr>
        <w:t xml:space="preserve">Structural analysis, stockpile simulation </w:t>
      </w:r>
    </w:p>
    <w:p w:rsidR="000F7430" w:rsidRDefault="000F7430" w:rsidP="005E41B2">
      <w:pPr>
        <w:jc w:val="both"/>
        <w:rPr>
          <w:lang w:val="en-GB"/>
        </w:rPr>
      </w:pPr>
    </w:p>
    <w:p w:rsidR="00F84261" w:rsidRDefault="00F84261" w:rsidP="005E41B2">
      <w:pPr>
        <w:jc w:val="both"/>
        <w:rPr>
          <w:b/>
          <w:sz w:val="28"/>
          <w:szCs w:val="28"/>
          <w:lang w:val="en-GB"/>
        </w:rPr>
      </w:pPr>
      <w:r>
        <w:rPr>
          <w:b/>
          <w:sz w:val="28"/>
          <w:szCs w:val="28"/>
          <w:lang w:val="en-GB"/>
        </w:rPr>
        <w:t>References</w:t>
      </w:r>
    </w:p>
    <w:p w:rsidR="00F84261" w:rsidRDefault="00F84261" w:rsidP="005E41B2">
      <w:pPr>
        <w:jc w:val="both"/>
        <w:rPr>
          <w:rFonts w:asciiTheme="majorBidi" w:hAnsiTheme="majorBidi" w:cstheme="majorBidi"/>
          <w:lang w:val="en-GB"/>
        </w:rPr>
      </w:pPr>
      <w:r>
        <w:rPr>
          <w:lang w:val="en-GB" w:eastAsia="fr-FR"/>
        </w:rPr>
        <w:t xml:space="preserve">[1] </w:t>
      </w:r>
      <w:proofErr w:type="spellStart"/>
      <w:r>
        <w:rPr>
          <w:rFonts w:asciiTheme="majorBidi" w:hAnsiTheme="majorBidi" w:cstheme="majorBidi"/>
          <w:lang w:val="en-GB"/>
        </w:rPr>
        <w:t>Moor.F</w:t>
      </w:r>
      <w:proofErr w:type="spellEnd"/>
      <w:r>
        <w:rPr>
          <w:rFonts w:asciiTheme="majorBidi" w:hAnsiTheme="majorBidi" w:cstheme="majorBidi"/>
          <w:lang w:val="en-GB"/>
        </w:rPr>
        <w:t xml:space="preserve"> and </w:t>
      </w:r>
      <w:proofErr w:type="spellStart"/>
      <w:r>
        <w:rPr>
          <w:rFonts w:asciiTheme="majorBidi" w:hAnsiTheme="majorBidi" w:cstheme="majorBidi"/>
          <w:lang w:val="en-GB"/>
        </w:rPr>
        <w:t>Modabberi.S</w:t>
      </w:r>
      <w:proofErr w:type="spellEnd"/>
      <w:r>
        <w:rPr>
          <w:rFonts w:asciiTheme="majorBidi" w:hAnsiTheme="majorBidi" w:cstheme="majorBidi"/>
          <w:lang w:val="en-GB"/>
        </w:rPr>
        <w:t xml:space="preserve">.(2003), Origin of Choghart Iron oxide </w:t>
      </w:r>
      <w:proofErr w:type="spellStart"/>
      <w:r>
        <w:rPr>
          <w:rFonts w:asciiTheme="majorBidi" w:hAnsiTheme="majorBidi" w:cstheme="majorBidi"/>
          <w:lang w:val="en-GB"/>
        </w:rPr>
        <w:t>deposit,Bafgh</w:t>
      </w:r>
      <w:proofErr w:type="spellEnd"/>
      <w:r>
        <w:rPr>
          <w:rFonts w:asciiTheme="majorBidi" w:hAnsiTheme="majorBidi" w:cstheme="majorBidi"/>
          <w:lang w:val="en-GB"/>
        </w:rPr>
        <w:t xml:space="preserve"> Mining district, central Iran: new isotopic and geochemical evidence, </w:t>
      </w:r>
      <w:r>
        <w:rPr>
          <w:rFonts w:asciiTheme="majorBidi" w:hAnsiTheme="majorBidi" w:cstheme="majorBidi"/>
          <w:i/>
          <w:iCs/>
          <w:lang w:val="en-GB"/>
        </w:rPr>
        <w:t>Journal of Sciences, Islamic Republic of Iran,</w:t>
      </w:r>
      <w:r>
        <w:rPr>
          <w:rFonts w:asciiTheme="majorBidi" w:hAnsiTheme="majorBidi" w:cstheme="majorBidi"/>
          <w:sz w:val="28"/>
          <w:szCs w:val="28"/>
          <w:lang w:val="en-GB"/>
        </w:rPr>
        <w:t xml:space="preserve"> </w:t>
      </w:r>
      <w:r>
        <w:rPr>
          <w:rFonts w:asciiTheme="majorBidi" w:hAnsiTheme="majorBidi" w:cstheme="majorBidi"/>
          <w:lang w:val="en-GB"/>
        </w:rPr>
        <w:t xml:space="preserve">University of Tehran 14(3): 259-269, ISSN 1016-1104 </w:t>
      </w:r>
    </w:p>
    <w:p w:rsidR="00F84261" w:rsidRDefault="00F84261" w:rsidP="005E41B2">
      <w:pPr>
        <w:jc w:val="both"/>
        <w:rPr>
          <w:rFonts w:asciiTheme="majorBidi" w:hAnsiTheme="majorBidi" w:cstheme="majorBidi"/>
          <w:lang w:val="en-GB"/>
        </w:rPr>
      </w:pPr>
      <w:r>
        <w:rPr>
          <w:lang w:val="en-GB" w:eastAsia="fr-FR"/>
        </w:rPr>
        <w:t xml:space="preserve">[2] </w:t>
      </w:r>
      <w:proofErr w:type="spellStart"/>
      <w:r>
        <w:rPr>
          <w:lang w:val="en-GB" w:eastAsia="fr-FR"/>
        </w:rPr>
        <w:t>Torab.F.M</w:t>
      </w:r>
      <w:proofErr w:type="spellEnd"/>
      <w:r>
        <w:rPr>
          <w:lang w:val="en-GB" w:eastAsia="fr-FR"/>
        </w:rPr>
        <w:t xml:space="preserve"> and</w:t>
      </w:r>
      <w:r>
        <w:rPr>
          <w:rFonts w:asciiTheme="majorBidi" w:hAnsiTheme="majorBidi" w:cstheme="majorBidi"/>
          <w:lang w:val="en-GB"/>
        </w:rPr>
        <w:t xml:space="preserve"> Lehman B L</w:t>
      </w:r>
      <w:proofErr w:type="gramStart"/>
      <w:r>
        <w:rPr>
          <w:rFonts w:asciiTheme="majorBidi" w:hAnsiTheme="majorBidi" w:cstheme="majorBidi"/>
          <w:lang w:val="en-GB"/>
        </w:rPr>
        <w:t>.(</w:t>
      </w:r>
      <w:proofErr w:type="gramEnd"/>
      <w:r>
        <w:rPr>
          <w:rFonts w:asciiTheme="majorBidi" w:hAnsiTheme="majorBidi" w:cstheme="majorBidi"/>
          <w:lang w:val="en-GB"/>
        </w:rPr>
        <w:t xml:space="preserve">2006), Iron oxide-apatite deposits of the </w:t>
      </w:r>
      <w:proofErr w:type="spellStart"/>
      <w:r>
        <w:rPr>
          <w:rFonts w:asciiTheme="majorBidi" w:hAnsiTheme="majorBidi" w:cstheme="majorBidi"/>
          <w:lang w:val="en-GB"/>
        </w:rPr>
        <w:t>Bafq</w:t>
      </w:r>
      <w:proofErr w:type="spellEnd"/>
      <w:r>
        <w:rPr>
          <w:rFonts w:asciiTheme="majorBidi" w:hAnsiTheme="majorBidi" w:cstheme="majorBidi"/>
          <w:lang w:val="en-GB"/>
        </w:rPr>
        <w:t xml:space="preserve"> district, central Iran: an overview from geology to </w:t>
      </w:r>
      <w:proofErr w:type="spellStart"/>
      <w:r>
        <w:rPr>
          <w:rFonts w:asciiTheme="majorBidi" w:hAnsiTheme="majorBidi" w:cstheme="majorBidi"/>
          <w:lang w:val="en-GB"/>
        </w:rPr>
        <w:t>mining,</w:t>
      </w:r>
      <w:r>
        <w:rPr>
          <w:rFonts w:asciiTheme="majorBidi" w:hAnsiTheme="majorBidi" w:cstheme="majorBidi"/>
          <w:i/>
          <w:iCs/>
          <w:lang w:val="en-GB"/>
        </w:rPr>
        <w:t>World</w:t>
      </w:r>
      <w:proofErr w:type="spellEnd"/>
      <w:r>
        <w:rPr>
          <w:rFonts w:asciiTheme="majorBidi" w:hAnsiTheme="majorBidi" w:cstheme="majorBidi"/>
          <w:i/>
          <w:iCs/>
          <w:lang w:val="en-GB"/>
        </w:rPr>
        <w:t xml:space="preserve"> of Mining—Surface and Underground</w:t>
      </w:r>
      <w:r>
        <w:rPr>
          <w:rFonts w:asciiTheme="majorBidi" w:hAnsiTheme="majorBidi" w:cstheme="majorBidi"/>
          <w:lang w:val="en-GB"/>
        </w:rPr>
        <w:t>58(6): 355-362.</w:t>
      </w:r>
    </w:p>
    <w:p w:rsidR="00F84261" w:rsidRDefault="00F84261" w:rsidP="005E41B2">
      <w:pPr>
        <w:jc w:val="both"/>
        <w:rPr>
          <w:rFonts w:asciiTheme="majorBidi" w:hAnsiTheme="majorBidi" w:cstheme="majorBidi"/>
          <w:lang w:val="fr-FR"/>
        </w:rPr>
      </w:pPr>
      <w:r>
        <w:rPr>
          <w:rFonts w:asciiTheme="majorBidi" w:hAnsiTheme="majorBidi" w:cstheme="majorBidi"/>
          <w:lang w:val="fr-FR"/>
        </w:rPr>
        <w:t xml:space="preserve">[3] Matheron, George (1982b), La </w:t>
      </w:r>
      <w:proofErr w:type="spellStart"/>
      <w:r>
        <w:rPr>
          <w:rFonts w:asciiTheme="majorBidi" w:hAnsiTheme="majorBidi" w:cstheme="majorBidi"/>
          <w:lang w:val="fr-FR"/>
        </w:rPr>
        <w:t>destructuration</w:t>
      </w:r>
      <w:proofErr w:type="spellEnd"/>
      <w:r>
        <w:rPr>
          <w:rFonts w:asciiTheme="majorBidi" w:hAnsiTheme="majorBidi" w:cstheme="majorBidi"/>
          <w:lang w:val="fr-FR"/>
        </w:rPr>
        <w:t xml:space="preserve"> des hautes teneurs et le </w:t>
      </w:r>
      <w:proofErr w:type="spellStart"/>
      <w:r>
        <w:rPr>
          <w:rFonts w:asciiTheme="majorBidi" w:hAnsiTheme="majorBidi" w:cstheme="majorBidi"/>
          <w:lang w:val="fr-FR"/>
        </w:rPr>
        <w:t>krigeage</w:t>
      </w:r>
      <w:proofErr w:type="spellEnd"/>
      <w:r>
        <w:rPr>
          <w:rFonts w:asciiTheme="majorBidi" w:hAnsiTheme="majorBidi" w:cstheme="majorBidi"/>
          <w:lang w:val="fr-FR"/>
        </w:rPr>
        <w:t xml:space="preserve"> des indicatrices, </w:t>
      </w:r>
      <w:proofErr w:type="spellStart"/>
      <w:r>
        <w:rPr>
          <w:rFonts w:asciiTheme="majorBidi" w:hAnsiTheme="majorBidi" w:cstheme="majorBidi"/>
          <w:lang w:val="fr-FR"/>
        </w:rPr>
        <w:t>Technical</w:t>
      </w:r>
      <w:proofErr w:type="spellEnd"/>
      <w:r>
        <w:rPr>
          <w:rFonts w:asciiTheme="majorBidi" w:hAnsiTheme="majorBidi" w:cstheme="majorBidi"/>
          <w:lang w:val="fr-FR"/>
        </w:rPr>
        <w:t xml:space="preserve"> Report N.761, Centre de Géostatistique, Fontainebleau, France</w:t>
      </w:r>
    </w:p>
    <w:p w:rsidR="00E77B06" w:rsidRPr="00541C18" w:rsidRDefault="00E77B06" w:rsidP="005E41B2">
      <w:pPr>
        <w:jc w:val="both"/>
        <w:rPr>
          <w:rFonts w:ascii="Nimbus Roman No9 L" w:eastAsia="Times New Roman" w:hAnsi="Nimbus Roman No9 L"/>
          <w:iCs/>
          <w:color w:val="FF0000"/>
          <w:lang w:val="en-US"/>
        </w:rPr>
      </w:pPr>
    </w:p>
    <w:p w:rsidR="008434F6" w:rsidRDefault="008434F6" w:rsidP="005E41B2">
      <w:pPr>
        <w:jc w:val="both"/>
      </w:pPr>
    </w:p>
    <w:sectPr w:rsidR="008434F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280" w:rsidRDefault="00460280" w:rsidP="00F84261">
      <w:pPr>
        <w:spacing w:after="0"/>
      </w:pPr>
      <w:r>
        <w:separator/>
      </w:r>
    </w:p>
  </w:endnote>
  <w:endnote w:type="continuationSeparator" w:id="0">
    <w:p w:rsidR="00460280" w:rsidRDefault="00460280" w:rsidP="00F842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font>
  <w:font w:name="Lohit Devanagari">
    <w:altName w:val="MS Mincho"/>
    <w:charset w:val="80"/>
    <w:family w:val="auto"/>
    <w:pitch w:val="variable"/>
  </w:font>
  <w:font w:name="文泉驛正黑">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629334"/>
      <w:docPartObj>
        <w:docPartGallery w:val="Page Numbers (Bottom of Page)"/>
        <w:docPartUnique/>
      </w:docPartObj>
    </w:sdtPr>
    <w:sdtEndPr>
      <w:rPr>
        <w:noProof/>
      </w:rPr>
    </w:sdtEndPr>
    <w:sdtContent>
      <w:p w:rsidR="00F84261" w:rsidRDefault="00F84261">
        <w:pPr>
          <w:pStyle w:val="Footer"/>
          <w:jc w:val="right"/>
        </w:pPr>
        <w:r>
          <w:fldChar w:fldCharType="begin"/>
        </w:r>
        <w:r>
          <w:instrText xml:space="preserve"> PAGE   \* MERGEFORMAT </w:instrText>
        </w:r>
        <w:r>
          <w:fldChar w:fldCharType="separate"/>
        </w:r>
        <w:r w:rsidR="000F7430">
          <w:rPr>
            <w:noProof/>
          </w:rPr>
          <w:t>6</w:t>
        </w:r>
        <w:r>
          <w:rPr>
            <w:noProof/>
          </w:rPr>
          <w:fldChar w:fldCharType="end"/>
        </w:r>
      </w:p>
    </w:sdtContent>
  </w:sdt>
  <w:p w:rsidR="00F84261" w:rsidRDefault="00F84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280" w:rsidRDefault="00460280" w:rsidP="00F84261">
      <w:pPr>
        <w:spacing w:after="0"/>
      </w:pPr>
      <w:r>
        <w:separator/>
      </w:r>
    </w:p>
  </w:footnote>
  <w:footnote w:type="continuationSeparator" w:id="0">
    <w:p w:rsidR="00460280" w:rsidRDefault="00460280" w:rsidP="00F8426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E0032"/>
    <w:multiLevelType w:val="hybridMultilevel"/>
    <w:tmpl w:val="17BAB0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14A"/>
    <w:rsid w:val="000046B0"/>
    <w:rsid w:val="0002730E"/>
    <w:rsid w:val="00030A16"/>
    <w:rsid w:val="00094564"/>
    <w:rsid w:val="000A4C3F"/>
    <w:rsid w:val="000F7430"/>
    <w:rsid w:val="001954CB"/>
    <w:rsid w:val="001D05D4"/>
    <w:rsid w:val="001D514A"/>
    <w:rsid w:val="00240792"/>
    <w:rsid w:val="00244625"/>
    <w:rsid w:val="0029495C"/>
    <w:rsid w:val="002A1ED3"/>
    <w:rsid w:val="002F3DCC"/>
    <w:rsid w:val="003452E6"/>
    <w:rsid w:val="0038153B"/>
    <w:rsid w:val="003A0EA3"/>
    <w:rsid w:val="003D6528"/>
    <w:rsid w:val="003E6A7B"/>
    <w:rsid w:val="0042297F"/>
    <w:rsid w:val="00460280"/>
    <w:rsid w:val="00486742"/>
    <w:rsid w:val="004B3308"/>
    <w:rsid w:val="00541C18"/>
    <w:rsid w:val="00586FDF"/>
    <w:rsid w:val="005C7273"/>
    <w:rsid w:val="005E41B2"/>
    <w:rsid w:val="00613BFF"/>
    <w:rsid w:val="006E2F6A"/>
    <w:rsid w:val="00760B91"/>
    <w:rsid w:val="00777BF0"/>
    <w:rsid w:val="00781AB8"/>
    <w:rsid w:val="00800BC6"/>
    <w:rsid w:val="00800D37"/>
    <w:rsid w:val="008309BB"/>
    <w:rsid w:val="008434F6"/>
    <w:rsid w:val="008B0A1E"/>
    <w:rsid w:val="0094349A"/>
    <w:rsid w:val="00A314E3"/>
    <w:rsid w:val="00A50F76"/>
    <w:rsid w:val="00AA25FB"/>
    <w:rsid w:val="00B73AB5"/>
    <w:rsid w:val="00BB24AB"/>
    <w:rsid w:val="00BE1FB4"/>
    <w:rsid w:val="00C92B26"/>
    <w:rsid w:val="00CA1700"/>
    <w:rsid w:val="00CE242F"/>
    <w:rsid w:val="00D316B3"/>
    <w:rsid w:val="00E00616"/>
    <w:rsid w:val="00E26718"/>
    <w:rsid w:val="00E50A0A"/>
    <w:rsid w:val="00E77B06"/>
    <w:rsid w:val="00E87158"/>
    <w:rsid w:val="00E9407C"/>
    <w:rsid w:val="00EE5181"/>
    <w:rsid w:val="00EE5683"/>
    <w:rsid w:val="00F052F8"/>
    <w:rsid w:val="00F17397"/>
    <w:rsid w:val="00F4612D"/>
    <w:rsid w:val="00F67431"/>
    <w:rsid w:val="00F84261"/>
    <w:rsid w:val="00FF56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14A"/>
    <w:pPr>
      <w:spacing w:line="240" w:lineRule="auto"/>
    </w:pPr>
    <w:rPr>
      <w:rFonts w:ascii="Times New Roman" w:eastAsiaTheme="minorEastAsia" w:hAnsi="Times New Roman" w:cs="Times New Roman"/>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B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F0"/>
    <w:rPr>
      <w:rFonts w:ascii="Tahoma" w:eastAsiaTheme="minorEastAsia" w:hAnsi="Tahoma" w:cs="Tahoma"/>
      <w:sz w:val="16"/>
      <w:szCs w:val="16"/>
      <w:lang w:val="it-IT" w:eastAsia="it-IT"/>
    </w:rPr>
  </w:style>
  <w:style w:type="paragraph" w:styleId="ListParagraph">
    <w:name w:val="List Paragraph"/>
    <w:basedOn w:val="Normal"/>
    <w:uiPriority w:val="34"/>
    <w:qFormat/>
    <w:rsid w:val="00B73AB5"/>
    <w:pPr>
      <w:ind w:left="720"/>
      <w:contextualSpacing/>
    </w:pPr>
  </w:style>
  <w:style w:type="paragraph" w:styleId="Caption">
    <w:name w:val="caption"/>
    <w:basedOn w:val="Normal"/>
    <w:semiHidden/>
    <w:unhideWhenUsed/>
    <w:qFormat/>
    <w:rsid w:val="00F84261"/>
    <w:pPr>
      <w:widowControl w:val="0"/>
      <w:suppressLineNumbers/>
      <w:suppressAutoHyphens/>
      <w:overflowPunct w:val="0"/>
      <w:autoSpaceDE w:val="0"/>
      <w:spacing w:before="120" w:after="120"/>
    </w:pPr>
    <w:rPr>
      <w:rFonts w:ascii="Nimbus Roman No9 L" w:eastAsia="Times New Roman" w:hAnsi="Nimbus Roman No9 L" w:cs="Lohit Devanagari"/>
      <w:i/>
      <w:iCs/>
      <w:color w:val="000000"/>
      <w:lang w:eastAsia="zh-CN"/>
    </w:rPr>
  </w:style>
  <w:style w:type="table" w:styleId="LightShading-Accent1">
    <w:name w:val="Light Shading Accent 1"/>
    <w:basedOn w:val="TableNormal"/>
    <w:uiPriority w:val="60"/>
    <w:rsid w:val="00F8426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F84261"/>
    <w:pPr>
      <w:tabs>
        <w:tab w:val="center" w:pos="4680"/>
        <w:tab w:val="right" w:pos="9360"/>
      </w:tabs>
      <w:spacing w:after="0"/>
    </w:pPr>
  </w:style>
  <w:style w:type="character" w:customStyle="1" w:styleId="HeaderChar">
    <w:name w:val="Header Char"/>
    <w:basedOn w:val="DefaultParagraphFont"/>
    <w:link w:val="Header"/>
    <w:uiPriority w:val="99"/>
    <w:rsid w:val="00F84261"/>
    <w:rPr>
      <w:rFonts w:ascii="Times New Roman" w:eastAsiaTheme="minorEastAsia" w:hAnsi="Times New Roman" w:cs="Times New Roman"/>
      <w:sz w:val="24"/>
      <w:szCs w:val="24"/>
      <w:lang w:val="it-IT" w:eastAsia="it-IT"/>
    </w:rPr>
  </w:style>
  <w:style w:type="paragraph" w:styleId="Footer">
    <w:name w:val="footer"/>
    <w:basedOn w:val="Normal"/>
    <w:link w:val="FooterChar"/>
    <w:uiPriority w:val="99"/>
    <w:unhideWhenUsed/>
    <w:rsid w:val="00F84261"/>
    <w:pPr>
      <w:tabs>
        <w:tab w:val="center" w:pos="4680"/>
        <w:tab w:val="right" w:pos="9360"/>
      </w:tabs>
      <w:spacing w:after="0"/>
    </w:pPr>
  </w:style>
  <w:style w:type="character" w:customStyle="1" w:styleId="FooterChar">
    <w:name w:val="Footer Char"/>
    <w:basedOn w:val="DefaultParagraphFont"/>
    <w:link w:val="Footer"/>
    <w:uiPriority w:val="99"/>
    <w:rsid w:val="00F84261"/>
    <w:rPr>
      <w:rFonts w:ascii="Times New Roman" w:eastAsiaTheme="minorEastAsia" w:hAnsi="Times New Roman" w:cs="Times New Roman"/>
      <w:sz w:val="24"/>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14A"/>
    <w:pPr>
      <w:spacing w:line="240" w:lineRule="auto"/>
    </w:pPr>
    <w:rPr>
      <w:rFonts w:ascii="Times New Roman" w:eastAsiaTheme="minorEastAsia" w:hAnsi="Times New Roman" w:cs="Times New Roman"/>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B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F0"/>
    <w:rPr>
      <w:rFonts w:ascii="Tahoma" w:eastAsiaTheme="minorEastAsia" w:hAnsi="Tahoma" w:cs="Tahoma"/>
      <w:sz w:val="16"/>
      <w:szCs w:val="16"/>
      <w:lang w:val="it-IT" w:eastAsia="it-IT"/>
    </w:rPr>
  </w:style>
  <w:style w:type="paragraph" w:styleId="ListParagraph">
    <w:name w:val="List Paragraph"/>
    <w:basedOn w:val="Normal"/>
    <w:uiPriority w:val="34"/>
    <w:qFormat/>
    <w:rsid w:val="00B73AB5"/>
    <w:pPr>
      <w:ind w:left="720"/>
      <w:contextualSpacing/>
    </w:pPr>
  </w:style>
  <w:style w:type="paragraph" w:styleId="Caption">
    <w:name w:val="caption"/>
    <w:basedOn w:val="Normal"/>
    <w:semiHidden/>
    <w:unhideWhenUsed/>
    <w:qFormat/>
    <w:rsid w:val="00F84261"/>
    <w:pPr>
      <w:widowControl w:val="0"/>
      <w:suppressLineNumbers/>
      <w:suppressAutoHyphens/>
      <w:overflowPunct w:val="0"/>
      <w:autoSpaceDE w:val="0"/>
      <w:spacing w:before="120" w:after="120"/>
    </w:pPr>
    <w:rPr>
      <w:rFonts w:ascii="Nimbus Roman No9 L" w:eastAsia="Times New Roman" w:hAnsi="Nimbus Roman No9 L" w:cs="Lohit Devanagari"/>
      <w:i/>
      <w:iCs/>
      <w:color w:val="000000"/>
      <w:lang w:eastAsia="zh-CN"/>
    </w:rPr>
  </w:style>
  <w:style w:type="table" w:styleId="LightShading-Accent1">
    <w:name w:val="Light Shading Accent 1"/>
    <w:basedOn w:val="TableNormal"/>
    <w:uiPriority w:val="60"/>
    <w:rsid w:val="00F8426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F84261"/>
    <w:pPr>
      <w:tabs>
        <w:tab w:val="center" w:pos="4680"/>
        <w:tab w:val="right" w:pos="9360"/>
      </w:tabs>
      <w:spacing w:after="0"/>
    </w:pPr>
  </w:style>
  <w:style w:type="character" w:customStyle="1" w:styleId="HeaderChar">
    <w:name w:val="Header Char"/>
    <w:basedOn w:val="DefaultParagraphFont"/>
    <w:link w:val="Header"/>
    <w:uiPriority w:val="99"/>
    <w:rsid w:val="00F84261"/>
    <w:rPr>
      <w:rFonts w:ascii="Times New Roman" w:eastAsiaTheme="minorEastAsia" w:hAnsi="Times New Roman" w:cs="Times New Roman"/>
      <w:sz w:val="24"/>
      <w:szCs w:val="24"/>
      <w:lang w:val="it-IT" w:eastAsia="it-IT"/>
    </w:rPr>
  </w:style>
  <w:style w:type="paragraph" w:styleId="Footer">
    <w:name w:val="footer"/>
    <w:basedOn w:val="Normal"/>
    <w:link w:val="FooterChar"/>
    <w:uiPriority w:val="99"/>
    <w:unhideWhenUsed/>
    <w:rsid w:val="00F84261"/>
    <w:pPr>
      <w:tabs>
        <w:tab w:val="center" w:pos="4680"/>
        <w:tab w:val="right" w:pos="9360"/>
      </w:tabs>
      <w:spacing w:after="0"/>
    </w:pPr>
  </w:style>
  <w:style w:type="character" w:customStyle="1" w:styleId="FooterChar">
    <w:name w:val="Footer Char"/>
    <w:basedOn w:val="DefaultParagraphFont"/>
    <w:link w:val="Footer"/>
    <w:uiPriority w:val="99"/>
    <w:rsid w:val="00F84261"/>
    <w:rPr>
      <w:rFonts w:ascii="Times New Roman" w:eastAsiaTheme="minorEastAsia"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07174">
      <w:bodyDiv w:val="1"/>
      <w:marLeft w:val="0"/>
      <w:marRight w:val="0"/>
      <w:marTop w:val="0"/>
      <w:marBottom w:val="0"/>
      <w:divBdr>
        <w:top w:val="none" w:sz="0" w:space="0" w:color="auto"/>
        <w:left w:val="none" w:sz="0" w:space="0" w:color="auto"/>
        <w:bottom w:val="none" w:sz="0" w:space="0" w:color="auto"/>
        <w:right w:val="none" w:sz="0" w:space="0" w:color="auto"/>
      </w:divBdr>
    </w:div>
    <w:div w:id="405348766">
      <w:bodyDiv w:val="1"/>
      <w:marLeft w:val="0"/>
      <w:marRight w:val="0"/>
      <w:marTop w:val="0"/>
      <w:marBottom w:val="0"/>
      <w:divBdr>
        <w:top w:val="none" w:sz="0" w:space="0" w:color="auto"/>
        <w:left w:val="none" w:sz="0" w:space="0" w:color="auto"/>
        <w:bottom w:val="none" w:sz="0" w:space="0" w:color="auto"/>
        <w:right w:val="none" w:sz="0" w:space="0" w:color="auto"/>
      </w:divBdr>
    </w:div>
    <w:div w:id="452553080">
      <w:bodyDiv w:val="1"/>
      <w:marLeft w:val="0"/>
      <w:marRight w:val="0"/>
      <w:marTop w:val="0"/>
      <w:marBottom w:val="0"/>
      <w:divBdr>
        <w:top w:val="none" w:sz="0" w:space="0" w:color="auto"/>
        <w:left w:val="none" w:sz="0" w:space="0" w:color="auto"/>
        <w:bottom w:val="none" w:sz="0" w:space="0" w:color="auto"/>
        <w:right w:val="none" w:sz="0" w:space="0" w:color="auto"/>
      </w:divBdr>
    </w:div>
    <w:div w:id="729423979">
      <w:bodyDiv w:val="1"/>
      <w:marLeft w:val="0"/>
      <w:marRight w:val="0"/>
      <w:marTop w:val="0"/>
      <w:marBottom w:val="0"/>
      <w:divBdr>
        <w:top w:val="none" w:sz="0" w:space="0" w:color="auto"/>
        <w:left w:val="none" w:sz="0" w:space="0" w:color="auto"/>
        <w:bottom w:val="none" w:sz="0" w:space="0" w:color="auto"/>
        <w:right w:val="none" w:sz="0" w:space="0" w:color="auto"/>
      </w:divBdr>
    </w:div>
    <w:div w:id="765539043">
      <w:bodyDiv w:val="1"/>
      <w:marLeft w:val="0"/>
      <w:marRight w:val="0"/>
      <w:marTop w:val="0"/>
      <w:marBottom w:val="0"/>
      <w:divBdr>
        <w:top w:val="none" w:sz="0" w:space="0" w:color="auto"/>
        <w:left w:val="none" w:sz="0" w:space="0" w:color="auto"/>
        <w:bottom w:val="none" w:sz="0" w:space="0" w:color="auto"/>
        <w:right w:val="none" w:sz="0" w:space="0" w:color="auto"/>
      </w:divBdr>
    </w:div>
    <w:div w:id="880023304">
      <w:bodyDiv w:val="1"/>
      <w:marLeft w:val="0"/>
      <w:marRight w:val="0"/>
      <w:marTop w:val="0"/>
      <w:marBottom w:val="0"/>
      <w:divBdr>
        <w:top w:val="none" w:sz="0" w:space="0" w:color="auto"/>
        <w:left w:val="none" w:sz="0" w:space="0" w:color="auto"/>
        <w:bottom w:val="none" w:sz="0" w:space="0" w:color="auto"/>
        <w:right w:val="none" w:sz="0" w:space="0" w:color="auto"/>
      </w:divBdr>
    </w:div>
    <w:div w:id="939339117">
      <w:bodyDiv w:val="1"/>
      <w:marLeft w:val="0"/>
      <w:marRight w:val="0"/>
      <w:marTop w:val="0"/>
      <w:marBottom w:val="0"/>
      <w:divBdr>
        <w:top w:val="none" w:sz="0" w:space="0" w:color="auto"/>
        <w:left w:val="none" w:sz="0" w:space="0" w:color="auto"/>
        <w:bottom w:val="none" w:sz="0" w:space="0" w:color="auto"/>
        <w:right w:val="none" w:sz="0" w:space="0" w:color="auto"/>
      </w:divBdr>
    </w:div>
    <w:div w:id="1601525501">
      <w:bodyDiv w:val="1"/>
      <w:marLeft w:val="0"/>
      <w:marRight w:val="0"/>
      <w:marTop w:val="0"/>
      <w:marBottom w:val="0"/>
      <w:divBdr>
        <w:top w:val="none" w:sz="0" w:space="0" w:color="auto"/>
        <w:left w:val="none" w:sz="0" w:space="0" w:color="auto"/>
        <w:bottom w:val="none" w:sz="0" w:space="0" w:color="auto"/>
        <w:right w:val="none" w:sz="0" w:space="0" w:color="auto"/>
      </w:divBdr>
    </w:div>
    <w:div w:id="1875268592">
      <w:bodyDiv w:val="1"/>
      <w:marLeft w:val="0"/>
      <w:marRight w:val="0"/>
      <w:marTop w:val="0"/>
      <w:marBottom w:val="0"/>
      <w:divBdr>
        <w:top w:val="none" w:sz="0" w:space="0" w:color="auto"/>
        <w:left w:val="none" w:sz="0" w:space="0" w:color="auto"/>
        <w:bottom w:val="none" w:sz="0" w:space="0" w:color="auto"/>
        <w:right w:val="none" w:sz="0" w:space="0" w:color="auto"/>
      </w:divBdr>
    </w:div>
    <w:div w:id="1959021075">
      <w:bodyDiv w:val="1"/>
      <w:marLeft w:val="0"/>
      <w:marRight w:val="0"/>
      <w:marTop w:val="0"/>
      <w:marBottom w:val="0"/>
      <w:divBdr>
        <w:top w:val="none" w:sz="0" w:space="0" w:color="auto"/>
        <w:left w:val="none" w:sz="0" w:space="0" w:color="auto"/>
        <w:bottom w:val="none" w:sz="0" w:space="0" w:color="auto"/>
        <w:right w:val="none" w:sz="0" w:space="0" w:color="auto"/>
      </w:divBdr>
    </w:div>
    <w:div w:id="196480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g580</dc:creator>
  <cp:lastModifiedBy>g580</cp:lastModifiedBy>
  <cp:revision>2</cp:revision>
  <dcterms:created xsi:type="dcterms:W3CDTF">2007-05-23T13:36:00Z</dcterms:created>
  <dcterms:modified xsi:type="dcterms:W3CDTF">2007-05-23T13:36:00Z</dcterms:modified>
</cp:coreProperties>
</file>